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88B3" w14:textId="77777777" w:rsidR="00D51E3F" w:rsidRDefault="00D51E3F" w:rsidP="00D51E3F">
      <w:pPr>
        <w:jc w:val="center"/>
        <w:rPr>
          <w:noProof/>
        </w:rPr>
      </w:pPr>
    </w:p>
    <w:p w14:paraId="348420B5" w14:textId="77777777" w:rsidR="00D51E3F" w:rsidRPr="00800462" w:rsidRDefault="00D51E3F" w:rsidP="00D51E3F">
      <w:pPr>
        <w:jc w:val="center"/>
      </w:pPr>
      <w:r w:rsidRPr="005613B2">
        <w:rPr>
          <w:noProof/>
        </w:rPr>
        <w:drawing>
          <wp:inline distT="0" distB="0" distL="0" distR="0" wp14:anchorId="1E74539B" wp14:editId="6FB82305">
            <wp:extent cx="504825" cy="685800"/>
            <wp:effectExtent l="0" t="0" r="9525" b="0"/>
            <wp:docPr id="12704991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BE785F6" w14:textId="77777777" w:rsidR="00D51E3F" w:rsidRPr="00800462" w:rsidRDefault="00D51E3F" w:rsidP="00D51E3F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0C0B0FC7" w14:textId="77777777" w:rsidR="00D51E3F" w:rsidRPr="00800462" w:rsidRDefault="00D51E3F" w:rsidP="00D51E3F">
      <w:pPr>
        <w:jc w:val="both"/>
      </w:pPr>
    </w:p>
    <w:p w14:paraId="1F68FDDE" w14:textId="1DF7AEB2" w:rsidR="00D51E3F" w:rsidRPr="00800462" w:rsidRDefault="00D51E3F" w:rsidP="00D51E3F">
      <w:pPr>
        <w:jc w:val="right"/>
      </w:pPr>
      <w:r w:rsidRPr="00800462">
        <w:t>Zagreb,</w:t>
      </w:r>
      <w:r w:rsidR="00096513">
        <w:t xml:space="preserve">  </w:t>
      </w:r>
      <w:r w:rsidR="005D39E9">
        <w:t xml:space="preserve">prosinac </w:t>
      </w:r>
      <w:r>
        <w:t>2024.</w:t>
      </w:r>
      <w:r w:rsidRPr="00800462">
        <w:t xml:space="preserve"> </w:t>
      </w:r>
    </w:p>
    <w:p w14:paraId="19DFE672" w14:textId="77777777" w:rsidR="00D51E3F" w:rsidRPr="00800462" w:rsidRDefault="00D51E3F" w:rsidP="00D51E3F">
      <w:pPr>
        <w:jc w:val="right"/>
      </w:pPr>
    </w:p>
    <w:p w14:paraId="3D98711D" w14:textId="77777777" w:rsidR="00D51E3F" w:rsidRPr="00800462" w:rsidRDefault="00D51E3F" w:rsidP="00D51E3F">
      <w:pPr>
        <w:jc w:val="right"/>
      </w:pPr>
    </w:p>
    <w:p w14:paraId="1C384D3D" w14:textId="77777777" w:rsidR="00D51E3F" w:rsidRDefault="00D51E3F" w:rsidP="00D51E3F">
      <w:pPr>
        <w:jc w:val="both"/>
      </w:pPr>
    </w:p>
    <w:p w14:paraId="36F7DF9F" w14:textId="77777777" w:rsidR="00D51E3F" w:rsidRDefault="00D51E3F" w:rsidP="00D51E3F">
      <w:pPr>
        <w:jc w:val="both"/>
      </w:pPr>
    </w:p>
    <w:p w14:paraId="5E4AB505" w14:textId="77777777" w:rsidR="00D51E3F" w:rsidRDefault="00D51E3F" w:rsidP="00D51E3F">
      <w:pPr>
        <w:jc w:val="both"/>
      </w:pPr>
    </w:p>
    <w:p w14:paraId="730F6DFC" w14:textId="77777777" w:rsidR="00D51E3F" w:rsidRDefault="00D51E3F" w:rsidP="00D51E3F">
      <w:pPr>
        <w:jc w:val="both"/>
      </w:pPr>
    </w:p>
    <w:p w14:paraId="31FB4F57" w14:textId="77777777" w:rsidR="00D51E3F" w:rsidRDefault="00D51E3F" w:rsidP="00D51E3F">
      <w:pPr>
        <w:jc w:val="both"/>
      </w:pPr>
    </w:p>
    <w:p w14:paraId="111F7A93" w14:textId="77777777" w:rsidR="00D51E3F" w:rsidRDefault="00D51E3F" w:rsidP="00D51E3F">
      <w:pPr>
        <w:jc w:val="both"/>
      </w:pPr>
    </w:p>
    <w:p w14:paraId="7FAE1531" w14:textId="77777777" w:rsidR="00D51E3F" w:rsidRDefault="00D51E3F" w:rsidP="00D51E3F">
      <w:pPr>
        <w:jc w:val="both"/>
      </w:pPr>
    </w:p>
    <w:p w14:paraId="546FF70E" w14:textId="77777777" w:rsidR="00D51E3F" w:rsidRPr="00800462" w:rsidRDefault="00D51E3F" w:rsidP="00D51E3F">
      <w:pPr>
        <w:jc w:val="both"/>
      </w:pPr>
      <w:r w:rsidRPr="00800462"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D51E3F" w:rsidRPr="00800462" w14:paraId="573F253D" w14:textId="77777777" w:rsidTr="008E3547">
        <w:tc>
          <w:tcPr>
            <w:tcW w:w="1951" w:type="dxa"/>
            <w:shd w:val="clear" w:color="auto" w:fill="auto"/>
          </w:tcPr>
          <w:p w14:paraId="6665B078" w14:textId="77777777" w:rsidR="00D51E3F" w:rsidRPr="00800462" w:rsidRDefault="00D51E3F" w:rsidP="008E3547">
            <w:pPr>
              <w:spacing w:line="360" w:lineRule="auto"/>
              <w:jc w:val="right"/>
            </w:pPr>
            <w:r w:rsidRPr="00800462">
              <w:t xml:space="preserve"> </w:t>
            </w:r>
            <w:r w:rsidRPr="006C32F6">
              <w:rPr>
                <w:b/>
                <w:smallCaps/>
              </w:rPr>
              <w:t>Predlagatelj</w:t>
            </w:r>
            <w:r w:rsidRPr="006C32F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62FEA5F" w14:textId="77777777" w:rsidR="00D51E3F" w:rsidRPr="00800462" w:rsidRDefault="00D51E3F" w:rsidP="008E3547">
            <w:pPr>
              <w:spacing w:line="360" w:lineRule="auto"/>
            </w:pPr>
            <w:r w:rsidRPr="00800462">
              <w:t xml:space="preserve">Ministarstvo </w:t>
            </w:r>
            <w:r>
              <w:t>zaštite okoliša i zelene tranzicije</w:t>
            </w:r>
          </w:p>
        </w:tc>
      </w:tr>
    </w:tbl>
    <w:p w14:paraId="2C847020" w14:textId="77777777" w:rsidR="00D51E3F" w:rsidRPr="00800462" w:rsidRDefault="00D51E3F" w:rsidP="00D51E3F">
      <w:pPr>
        <w:jc w:val="both"/>
      </w:pPr>
      <w:r w:rsidRPr="0080046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D51E3F" w:rsidRPr="00800462" w14:paraId="59F419A4" w14:textId="77777777" w:rsidTr="008E3547">
        <w:tc>
          <w:tcPr>
            <w:tcW w:w="1951" w:type="dxa"/>
            <w:shd w:val="clear" w:color="auto" w:fill="auto"/>
          </w:tcPr>
          <w:p w14:paraId="6FCE42BB" w14:textId="77777777" w:rsidR="00D51E3F" w:rsidRPr="00800462" w:rsidRDefault="00D51E3F" w:rsidP="008E3547">
            <w:pPr>
              <w:spacing w:line="360" w:lineRule="auto"/>
              <w:jc w:val="right"/>
            </w:pPr>
            <w:r w:rsidRPr="006C32F6">
              <w:rPr>
                <w:b/>
                <w:smallCaps/>
              </w:rPr>
              <w:t>Predmet</w:t>
            </w:r>
            <w:r w:rsidRPr="006C32F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6E2E83C" w14:textId="77777777" w:rsidR="00D51E3F" w:rsidRPr="00800462" w:rsidRDefault="00D51E3F" w:rsidP="00CA7C23">
            <w:pPr>
              <w:tabs>
                <w:tab w:val="left" w:pos="1594"/>
                <w:tab w:val="left" w:pos="2303"/>
              </w:tabs>
              <w:suppressAutoHyphens/>
              <w:jc w:val="both"/>
            </w:pPr>
            <w:r>
              <w:t>Prijedlog Odluke o nastavk</w:t>
            </w:r>
            <w:r w:rsidR="00692E80">
              <w:t>u</w:t>
            </w:r>
            <w:r>
              <w:t xml:space="preserve"> financiranja projekata </w:t>
            </w:r>
            <w:r w:rsidR="006F75CD" w:rsidRPr="006F75CD">
              <w:t>izgradnje četiri centra za gospodarenje otpadom</w:t>
            </w:r>
            <w:r>
              <w:t xml:space="preserve"> odobrenih u okviru Operativnog programa Konkurentnost i kohezija 2014.-2020. </w:t>
            </w:r>
            <w:r w:rsidR="008979F8">
              <w:t xml:space="preserve">i davanju suglasnosti Ministarstvu zaštite okoliša i zelene tranzicije za preuzimanje obveza na teret sredstava </w:t>
            </w:r>
            <w:r w:rsidR="004E6750">
              <w:t>D</w:t>
            </w:r>
            <w:r w:rsidR="008979F8">
              <w:t xml:space="preserve">ržavnog proračuna </w:t>
            </w:r>
            <w:r w:rsidR="003E30F1">
              <w:t>u razdoblju od 2025. do 202</w:t>
            </w:r>
            <w:r w:rsidR="00435905">
              <w:t>8</w:t>
            </w:r>
            <w:r w:rsidR="003E30F1">
              <w:t xml:space="preserve">. godine </w:t>
            </w:r>
            <w:r w:rsidR="008979F8">
              <w:t xml:space="preserve">za sklapanje </w:t>
            </w:r>
            <w:r w:rsidR="003E30F1">
              <w:t xml:space="preserve">ugovora o sufinanciranju i ugovora o dodjeli bespovratnih sredstava </w:t>
            </w:r>
            <w:r w:rsidR="00FE10CE" w:rsidRPr="00FE10CE">
              <w:t>iz Programa Konkurentnost i kohezija 2021.-2027.</w:t>
            </w:r>
          </w:p>
        </w:tc>
      </w:tr>
    </w:tbl>
    <w:p w14:paraId="04888C3D" w14:textId="77777777" w:rsidR="00D51E3F" w:rsidRPr="00800462" w:rsidRDefault="00D51E3F" w:rsidP="00D51E3F">
      <w:pPr>
        <w:jc w:val="both"/>
      </w:pPr>
      <w:r w:rsidRPr="00800462">
        <w:t>__________________________________________________________________________</w:t>
      </w:r>
    </w:p>
    <w:p w14:paraId="0578A39B" w14:textId="77777777" w:rsidR="00D51E3F" w:rsidRPr="00800462" w:rsidRDefault="00D51E3F" w:rsidP="00D51E3F">
      <w:pPr>
        <w:jc w:val="both"/>
      </w:pPr>
    </w:p>
    <w:p w14:paraId="00292191" w14:textId="2F14F26B" w:rsidR="00D51E3F" w:rsidRDefault="00D51E3F" w:rsidP="00D51E3F">
      <w:pPr>
        <w:suppressAutoHyphens/>
        <w:jc w:val="center"/>
        <w:rPr>
          <w:b/>
        </w:rPr>
      </w:pPr>
    </w:p>
    <w:p w14:paraId="44F96A41" w14:textId="77777777" w:rsidR="00D51E3F" w:rsidRDefault="00D51E3F" w:rsidP="00D51E3F">
      <w:pPr>
        <w:suppressAutoHyphens/>
        <w:jc w:val="center"/>
        <w:rPr>
          <w:b/>
        </w:rPr>
      </w:pPr>
    </w:p>
    <w:p w14:paraId="2F6E0A65" w14:textId="77777777" w:rsidR="00D51E3F" w:rsidRPr="00BD1A87" w:rsidRDefault="00D51E3F" w:rsidP="00D51E3F">
      <w:pPr>
        <w:tabs>
          <w:tab w:val="left" w:pos="2550"/>
        </w:tabs>
        <w:rPr>
          <w:b/>
        </w:rPr>
      </w:pPr>
    </w:p>
    <w:p w14:paraId="2B919132" w14:textId="77777777" w:rsidR="00D51E3F" w:rsidRDefault="00D51E3F" w:rsidP="00D51E3F">
      <w:pPr>
        <w:tabs>
          <w:tab w:val="left" w:pos="2550"/>
          <w:tab w:val="left" w:pos="3420"/>
        </w:tabs>
        <w:outlineLvl w:val="0"/>
        <w:rPr>
          <w:b/>
        </w:rPr>
      </w:pPr>
    </w:p>
    <w:p w14:paraId="0A7BF01A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4FB6CD1E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32E7D02A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0229B40D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14ED1391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66146809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37E80141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5A84E83D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37CE4CE5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0068B3C7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4BC590D0" w14:textId="77777777" w:rsidR="00D51E3F" w:rsidRDefault="00D51E3F" w:rsidP="00D51E3F"/>
    <w:p w14:paraId="75516C41" w14:textId="77777777" w:rsidR="00D51E3F" w:rsidRDefault="00D51E3F" w:rsidP="00D51E3F">
      <w:pPr>
        <w:pStyle w:val="Podnoje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DE3254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4FB2E908" w14:textId="77777777" w:rsidR="00D51E3F" w:rsidRDefault="00D51E3F" w:rsidP="00D51E3F">
      <w:pPr>
        <w:pStyle w:val="Podnoje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1DA2B5A5" w14:textId="77777777" w:rsidR="00D51E3F" w:rsidRDefault="00D51E3F" w:rsidP="00D51E3F">
      <w:pPr>
        <w:pStyle w:val="Podnoje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061F3756" w14:textId="77777777" w:rsidR="00D51E3F" w:rsidRDefault="00D51E3F" w:rsidP="00D51E3F">
      <w:pPr>
        <w:pStyle w:val="Podnoje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769AA126" w14:textId="77777777" w:rsidR="0097507F" w:rsidRDefault="00B87DBE" w:rsidP="0097507F">
      <w:r>
        <w:t xml:space="preserve">                                                                            </w:t>
      </w:r>
      <w:r w:rsidR="0097507F" w:rsidRPr="00263DDD">
        <w:t xml:space="preserve">                                    </w:t>
      </w:r>
      <w:r w:rsidR="00D51E3F">
        <w:t xml:space="preserve">               </w:t>
      </w:r>
      <w:r w:rsidR="0097507F" w:rsidRPr="00263DDD">
        <w:t>PRIJEDLOG</w:t>
      </w:r>
    </w:p>
    <w:p w14:paraId="252536E0" w14:textId="77777777" w:rsidR="0097507F" w:rsidRPr="00263DDD" w:rsidRDefault="0097507F" w:rsidP="0097507F"/>
    <w:p w14:paraId="1FB703D2" w14:textId="79F3CBE3" w:rsidR="0097507F" w:rsidRPr="00263DDD" w:rsidRDefault="0097507F" w:rsidP="0097507F">
      <w:pPr>
        <w:ind w:firstLine="1418"/>
        <w:jc w:val="both"/>
      </w:pPr>
      <w:r w:rsidRPr="00263DDD">
        <w:t>Na temelju članka 8. i članka 31. stavka 2. Zakona o Vladi Republike Hrvatske („Narodne novine“, br. 150/11., 119/14., 93/16., 116/18.</w:t>
      </w:r>
      <w:r w:rsidR="003F022B">
        <w:t>,</w:t>
      </w:r>
      <w:r w:rsidRPr="00263DDD">
        <w:t xml:space="preserve"> 80/22.</w:t>
      </w:r>
      <w:r w:rsidR="003F022B">
        <w:t xml:space="preserve"> i 78/24</w:t>
      </w:r>
      <w:r w:rsidRPr="00263DDD">
        <w:t>), članka</w:t>
      </w:r>
      <w:r w:rsidR="00927F24">
        <w:t xml:space="preserve"> 48. </w:t>
      </w:r>
      <w:r w:rsidR="005531E2">
        <w:t xml:space="preserve">stavka 2. </w:t>
      </w:r>
      <w:r w:rsidR="00927F24">
        <w:t xml:space="preserve">Zakona o proračunu </w:t>
      </w:r>
      <w:r w:rsidR="00927F24" w:rsidRPr="00263DDD">
        <w:t>(„Narodne novine“, br. 1</w:t>
      </w:r>
      <w:r w:rsidR="00927F24">
        <w:t>44/21</w:t>
      </w:r>
      <w:r w:rsidR="00927F24" w:rsidRPr="00263DDD">
        <w:t>)</w:t>
      </w:r>
      <w:r w:rsidR="00927F24">
        <w:t xml:space="preserve"> i</w:t>
      </w:r>
      <w:r w:rsidR="005531E2">
        <w:t xml:space="preserve"> u vezi sa </w:t>
      </w:r>
      <w:r w:rsidR="00927F24">
        <w:t>člank</w:t>
      </w:r>
      <w:r w:rsidR="005531E2">
        <w:t>om</w:t>
      </w:r>
      <w:r w:rsidR="00927F24">
        <w:t xml:space="preserve"> </w:t>
      </w:r>
      <w:r w:rsidRPr="00263DDD">
        <w:t>23.</w:t>
      </w:r>
      <w:r w:rsidR="00AD4FB4">
        <w:t xml:space="preserve">, stavkom 7. </w:t>
      </w:r>
      <w:r w:rsidRPr="00263DDD">
        <w:t xml:space="preserve"> Zakona o izvršavanju Državnog proračuna Republike Hrvatske za 2024. godinu („Narodne novine“, br. 149/23</w:t>
      </w:r>
      <w:r w:rsidR="00AD4FB4">
        <w:t xml:space="preserve"> i 125/24</w:t>
      </w:r>
      <w:r w:rsidRPr="00263DDD">
        <w:t>), Vlada Republike Hrvatske je na sjednici održanoj ________________ 2024. donijela</w:t>
      </w:r>
    </w:p>
    <w:p w14:paraId="4B1A5DF7" w14:textId="77777777" w:rsidR="0097507F" w:rsidRPr="00263DDD" w:rsidRDefault="0097507F" w:rsidP="0097507F">
      <w:pPr>
        <w:jc w:val="both"/>
      </w:pPr>
    </w:p>
    <w:p w14:paraId="4D939BEE" w14:textId="77777777" w:rsidR="0097507F" w:rsidRPr="00263DDD" w:rsidRDefault="0097507F" w:rsidP="0097507F">
      <w:pPr>
        <w:jc w:val="both"/>
      </w:pPr>
    </w:p>
    <w:p w14:paraId="32D1D314" w14:textId="77777777" w:rsidR="0097507F" w:rsidRPr="00263DDD" w:rsidRDefault="0097507F" w:rsidP="0097507F">
      <w:pPr>
        <w:jc w:val="center"/>
        <w:rPr>
          <w:b/>
        </w:rPr>
      </w:pPr>
      <w:r w:rsidRPr="00263DDD">
        <w:rPr>
          <w:b/>
        </w:rPr>
        <w:t>O D L U K U</w:t>
      </w:r>
    </w:p>
    <w:p w14:paraId="369B6309" w14:textId="77777777" w:rsidR="0097507F" w:rsidRPr="00263DDD" w:rsidRDefault="0097507F" w:rsidP="0097507F">
      <w:pPr>
        <w:jc w:val="center"/>
        <w:rPr>
          <w:b/>
        </w:rPr>
      </w:pPr>
    </w:p>
    <w:p w14:paraId="02330FAA" w14:textId="77777777" w:rsidR="0097507F" w:rsidRPr="003E30F1" w:rsidRDefault="0097507F" w:rsidP="0097507F">
      <w:pPr>
        <w:jc w:val="center"/>
        <w:rPr>
          <w:b/>
        </w:rPr>
      </w:pPr>
      <w:bookmarkStart w:id="0" w:name="_Hlk149917820"/>
      <w:r w:rsidRPr="00263DDD">
        <w:rPr>
          <w:b/>
        </w:rPr>
        <w:t xml:space="preserve">o </w:t>
      </w:r>
      <w:r w:rsidR="00BA30C3">
        <w:rPr>
          <w:b/>
        </w:rPr>
        <w:t>nastavku</w:t>
      </w:r>
      <w:r w:rsidRPr="00263DDD">
        <w:rPr>
          <w:b/>
        </w:rPr>
        <w:t xml:space="preserve"> financiranja projekata </w:t>
      </w:r>
      <w:r w:rsidR="00AC4DF3">
        <w:rPr>
          <w:b/>
        </w:rPr>
        <w:t>izgradnje četiri centra za gospodarenje otpadom</w:t>
      </w:r>
      <w:r w:rsidRPr="00263DDD">
        <w:rPr>
          <w:b/>
        </w:rPr>
        <w:t xml:space="preserve"> odobrenih u </w:t>
      </w:r>
      <w:r w:rsidRPr="003E30F1">
        <w:rPr>
          <w:b/>
        </w:rPr>
        <w:t xml:space="preserve">okviru Operativnog programa Konkurentnost i kohezija 2014. – 2020. </w:t>
      </w:r>
      <w:r w:rsidR="003E30F1" w:rsidRPr="00CA7C23">
        <w:rPr>
          <w:b/>
        </w:rPr>
        <w:t xml:space="preserve">i davanju suglasnosti Ministarstvu zaštite okoliša i zelene tranzicije za preuzimanje obveza na teret sredstava </w:t>
      </w:r>
      <w:r w:rsidR="004E6750">
        <w:rPr>
          <w:b/>
        </w:rPr>
        <w:t>D</w:t>
      </w:r>
      <w:r w:rsidR="003E30F1" w:rsidRPr="00CA7C23">
        <w:rPr>
          <w:b/>
        </w:rPr>
        <w:t>ržavnog proračuna u razdoblju od 2025. do 202</w:t>
      </w:r>
      <w:r w:rsidR="00435905">
        <w:rPr>
          <w:b/>
        </w:rPr>
        <w:t>8</w:t>
      </w:r>
      <w:r w:rsidR="003E30F1" w:rsidRPr="00CA7C23">
        <w:rPr>
          <w:b/>
        </w:rPr>
        <w:t>. godine za sklapanje ugovora o sufinanciranju i ugovora o dodjeli bespovratnih sredstava</w:t>
      </w:r>
      <w:r w:rsidR="00571C86">
        <w:rPr>
          <w:b/>
        </w:rPr>
        <w:t xml:space="preserve"> </w:t>
      </w:r>
      <w:r w:rsidR="00571C86" w:rsidRPr="00571C86">
        <w:rPr>
          <w:b/>
        </w:rPr>
        <w:t>iz Programa Konkurentnost i kohezija 2021.-2027.</w:t>
      </w:r>
    </w:p>
    <w:bookmarkEnd w:id="0"/>
    <w:p w14:paraId="7BEC937E" w14:textId="77777777" w:rsidR="0097507F" w:rsidRDefault="0097507F" w:rsidP="0097507F">
      <w:pPr>
        <w:jc w:val="center"/>
        <w:rPr>
          <w:b/>
        </w:rPr>
      </w:pPr>
    </w:p>
    <w:p w14:paraId="4DB8A565" w14:textId="77777777" w:rsidR="00E57AEF" w:rsidRPr="00263DDD" w:rsidRDefault="00E57AEF" w:rsidP="0097507F">
      <w:pPr>
        <w:jc w:val="center"/>
        <w:rPr>
          <w:b/>
        </w:rPr>
      </w:pPr>
    </w:p>
    <w:p w14:paraId="3DE34575" w14:textId="77777777" w:rsidR="0097507F" w:rsidRPr="00263DDD" w:rsidRDefault="0097507F" w:rsidP="0097507F">
      <w:pPr>
        <w:jc w:val="center"/>
        <w:rPr>
          <w:b/>
        </w:rPr>
      </w:pPr>
      <w:r w:rsidRPr="00263DDD">
        <w:rPr>
          <w:b/>
        </w:rPr>
        <w:t>I.</w:t>
      </w:r>
    </w:p>
    <w:p w14:paraId="52EC6DA6" w14:textId="77777777" w:rsidR="0097507F" w:rsidRPr="00263DDD" w:rsidRDefault="0097507F" w:rsidP="0097507F">
      <w:pPr>
        <w:jc w:val="center"/>
        <w:rPr>
          <w:b/>
        </w:rPr>
      </w:pPr>
    </w:p>
    <w:p w14:paraId="53375278" w14:textId="72BE7A23" w:rsidR="00BA30C3" w:rsidRPr="00263DDD" w:rsidRDefault="007A3841" w:rsidP="00811F76">
      <w:pPr>
        <w:pStyle w:val="Odlomakpopisa"/>
        <w:spacing w:line="259" w:lineRule="auto"/>
        <w:ind w:left="0" w:firstLine="1418"/>
        <w:jc w:val="both"/>
        <w:rPr>
          <w:bCs/>
        </w:rPr>
      </w:pPr>
      <w:r>
        <w:rPr>
          <w:bCs/>
        </w:rPr>
        <w:t>Projekti izgradnje četiri centra za gospodarenje otpadom</w:t>
      </w:r>
      <w:r w:rsidR="001D0640">
        <w:rPr>
          <w:bCs/>
        </w:rPr>
        <w:t xml:space="preserve"> (u </w:t>
      </w:r>
      <w:r w:rsidR="00F30319">
        <w:rPr>
          <w:bCs/>
        </w:rPr>
        <w:t xml:space="preserve">daljnjem </w:t>
      </w:r>
      <w:r w:rsidR="001D0640">
        <w:rPr>
          <w:bCs/>
        </w:rPr>
        <w:t>tekst</w:t>
      </w:r>
      <w:r w:rsidR="00F30319">
        <w:rPr>
          <w:bCs/>
        </w:rPr>
        <w:t>u</w:t>
      </w:r>
      <w:r w:rsidR="001D0640">
        <w:rPr>
          <w:bCs/>
        </w:rPr>
        <w:t xml:space="preserve">: CGO) Babina gora, Lećevica, Lučino razdolje i Piškornica, odobreni </w:t>
      </w:r>
      <w:r>
        <w:rPr>
          <w:bCs/>
        </w:rPr>
        <w:t>su</w:t>
      </w:r>
      <w:r w:rsidR="00BA30C3">
        <w:rPr>
          <w:bCs/>
        </w:rPr>
        <w:t xml:space="preserve"> </w:t>
      </w:r>
      <w:r w:rsidR="00BA30C3" w:rsidRPr="00263DDD">
        <w:rPr>
          <w:bCs/>
        </w:rPr>
        <w:t xml:space="preserve">u okviru </w:t>
      </w:r>
      <w:r w:rsidR="001D0640" w:rsidRPr="001D0640">
        <w:rPr>
          <w:bCs/>
        </w:rPr>
        <w:t>Operativnog programa Konkurentnost i kohezija 2014. – 2020. (u daljnjem tekstu</w:t>
      </w:r>
      <w:r w:rsidR="001D0640">
        <w:rPr>
          <w:bCs/>
        </w:rPr>
        <w:t>:</w:t>
      </w:r>
      <w:r w:rsidR="001D0640" w:rsidRPr="001D0640">
        <w:rPr>
          <w:bCs/>
        </w:rPr>
        <w:t xml:space="preserve"> OPKK 2014.-2020.)</w:t>
      </w:r>
      <w:r w:rsidR="00BA30C3">
        <w:rPr>
          <w:bCs/>
        </w:rPr>
        <w:t xml:space="preserve"> </w:t>
      </w:r>
      <w:r w:rsidR="001D0640">
        <w:rPr>
          <w:bCs/>
        </w:rPr>
        <w:t xml:space="preserve">te će se nastaviti </w:t>
      </w:r>
      <w:r w:rsidR="001D0640" w:rsidRPr="001D0640">
        <w:rPr>
          <w:bCs/>
        </w:rPr>
        <w:t>sufinancirati kroz Program Konkurentnost i kohezija 2021. – 2027. (u daljnjem tekstu</w:t>
      </w:r>
      <w:r w:rsidR="001D0640">
        <w:rPr>
          <w:bCs/>
        </w:rPr>
        <w:t>:</w:t>
      </w:r>
      <w:r w:rsidR="001D0640" w:rsidRPr="001D0640">
        <w:rPr>
          <w:bCs/>
        </w:rPr>
        <w:t xml:space="preserve"> PKK 2021.–2027.)</w:t>
      </w:r>
      <w:r w:rsidR="001D0640">
        <w:rPr>
          <w:bCs/>
        </w:rPr>
        <w:t>.</w:t>
      </w:r>
    </w:p>
    <w:p w14:paraId="0C63A548" w14:textId="77777777" w:rsidR="0097507F" w:rsidRDefault="0097507F" w:rsidP="003E70F9">
      <w:pPr>
        <w:pStyle w:val="Odlomakpopisa"/>
        <w:ind w:left="0" w:firstLine="1276"/>
        <w:jc w:val="both"/>
        <w:rPr>
          <w:bCs/>
        </w:rPr>
      </w:pPr>
    </w:p>
    <w:p w14:paraId="69A4DB45" w14:textId="77777777" w:rsidR="00E57AEF" w:rsidRPr="00263DDD" w:rsidRDefault="00E57AEF" w:rsidP="003E70F9">
      <w:pPr>
        <w:pStyle w:val="Odlomakpopisa"/>
        <w:ind w:left="0" w:firstLine="1276"/>
        <w:jc w:val="both"/>
        <w:rPr>
          <w:bCs/>
        </w:rPr>
      </w:pPr>
    </w:p>
    <w:p w14:paraId="65C86CE8" w14:textId="77777777" w:rsidR="0097507F" w:rsidRPr="00263DDD" w:rsidRDefault="0097507F" w:rsidP="0097507F">
      <w:pPr>
        <w:jc w:val="center"/>
        <w:rPr>
          <w:b/>
        </w:rPr>
      </w:pPr>
      <w:r w:rsidRPr="00263DDD">
        <w:rPr>
          <w:b/>
        </w:rPr>
        <w:t>II.</w:t>
      </w:r>
    </w:p>
    <w:p w14:paraId="5506F17F" w14:textId="77777777" w:rsidR="0097507F" w:rsidRPr="001F1B1E" w:rsidRDefault="0097507F" w:rsidP="001F1B1E">
      <w:pPr>
        <w:pStyle w:val="Odlomakpopisa"/>
        <w:ind w:left="0" w:firstLine="1276"/>
        <w:jc w:val="both"/>
        <w:rPr>
          <w:bCs/>
        </w:rPr>
      </w:pPr>
    </w:p>
    <w:p w14:paraId="066B8096" w14:textId="5F296CA4" w:rsidR="001D0640" w:rsidRDefault="001D0640" w:rsidP="00811F76">
      <w:pPr>
        <w:pStyle w:val="Odlomakpopisa"/>
        <w:spacing w:line="259" w:lineRule="auto"/>
        <w:ind w:left="0" w:firstLine="1418"/>
        <w:jc w:val="both"/>
        <w:rPr>
          <w:bCs/>
        </w:rPr>
      </w:pPr>
      <w:r>
        <w:rPr>
          <w:bCs/>
        </w:rPr>
        <w:t xml:space="preserve">Ukupno </w:t>
      </w:r>
      <w:r w:rsidR="00F30319">
        <w:rPr>
          <w:bCs/>
        </w:rPr>
        <w:t xml:space="preserve">procijenjeni </w:t>
      </w:r>
      <w:r>
        <w:rPr>
          <w:bCs/>
        </w:rPr>
        <w:t xml:space="preserve">prihvatljivi troškovi projekata izgradnje četiri CGO-a </w:t>
      </w:r>
      <w:r w:rsidR="00E30945">
        <w:rPr>
          <w:bCs/>
        </w:rPr>
        <w:t xml:space="preserve">u iznosu od </w:t>
      </w:r>
      <w:r w:rsidR="00E30945" w:rsidRPr="001F1B1E">
        <w:rPr>
          <w:bCs/>
        </w:rPr>
        <w:t>293.977.202</w:t>
      </w:r>
      <w:r w:rsidR="008014F7">
        <w:rPr>
          <w:bCs/>
        </w:rPr>
        <w:t>,00</w:t>
      </w:r>
      <w:r w:rsidR="00E30945" w:rsidRPr="001F1B1E">
        <w:rPr>
          <w:bCs/>
        </w:rPr>
        <w:t xml:space="preserve"> EUR </w:t>
      </w:r>
      <w:r>
        <w:rPr>
          <w:bCs/>
        </w:rPr>
        <w:t>financirat će se</w:t>
      </w:r>
      <w:r w:rsidR="002A0611">
        <w:rPr>
          <w:bCs/>
        </w:rPr>
        <w:t xml:space="preserve"> </w:t>
      </w:r>
      <w:r>
        <w:rPr>
          <w:bCs/>
        </w:rPr>
        <w:t xml:space="preserve">kroz </w:t>
      </w:r>
      <w:r w:rsidRPr="001D0640">
        <w:rPr>
          <w:bCs/>
        </w:rPr>
        <w:t>PKK 2021.–2027.</w:t>
      </w:r>
      <w:r>
        <w:rPr>
          <w:bCs/>
        </w:rPr>
        <w:t xml:space="preserve"> </w:t>
      </w:r>
      <w:r w:rsidR="00A13969" w:rsidRPr="00A13969">
        <w:rPr>
          <w:bCs/>
        </w:rPr>
        <w:t>sredstvima Europskog fonda za regionalni razvoj</w:t>
      </w:r>
      <w:r>
        <w:rPr>
          <w:bCs/>
        </w:rPr>
        <w:t xml:space="preserve"> u ukupnom iznosu od </w:t>
      </w:r>
      <w:r w:rsidR="00E76E61" w:rsidRPr="00E76E61">
        <w:rPr>
          <w:bCs/>
        </w:rPr>
        <w:t>57.559.696</w:t>
      </w:r>
      <w:r w:rsidR="008014F7">
        <w:rPr>
          <w:bCs/>
        </w:rPr>
        <w:t>,00</w:t>
      </w:r>
      <w:r w:rsidR="00E76E61">
        <w:rPr>
          <w:bCs/>
        </w:rPr>
        <w:t xml:space="preserve"> </w:t>
      </w:r>
      <w:r>
        <w:rPr>
          <w:bCs/>
        </w:rPr>
        <w:t xml:space="preserve">EUR za sva četiri CGO-a, odnosno po </w:t>
      </w:r>
      <w:r w:rsidR="00E76E61" w:rsidRPr="00E76E61">
        <w:rPr>
          <w:bCs/>
        </w:rPr>
        <w:t>14.389.924</w:t>
      </w:r>
      <w:r w:rsidR="008014F7">
        <w:rPr>
          <w:bCs/>
        </w:rPr>
        <w:t>,00</w:t>
      </w:r>
      <w:r w:rsidR="00E76E61">
        <w:rPr>
          <w:bCs/>
        </w:rPr>
        <w:t xml:space="preserve"> </w:t>
      </w:r>
      <w:r>
        <w:rPr>
          <w:bCs/>
        </w:rPr>
        <w:t>EUR za svaki pojedini projekt</w:t>
      </w:r>
      <w:r w:rsidR="001E031F">
        <w:rPr>
          <w:bCs/>
        </w:rPr>
        <w:t xml:space="preserve">. Preostali dio </w:t>
      </w:r>
      <w:r w:rsidR="00AD4FB4">
        <w:rPr>
          <w:bCs/>
        </w:rPr>
        <w:t xml:space="preserve">procijenjenih </w:t>
      </w:r>
      <w:r w:rsidR="001E031F">
        <w:rPr>
          <w:bCs/>
        </w:rPr>
        <w:t xml:space="preserve">prihvatljivih troškova </w:t>
      </w:r>
      <w:r w:rsidR="00C12513">
        <w:rPr>
          <w:bCs/>
        </w:rPr>
        <w:t xml:space="preserve">osigurat </w:t>
      </w:r>
      <w:r w:rsidR="001E031F">
        <w:rPr>
          <w:bCs/>
        </w:rPr>
        <w:t>će se na način da će Korisnici</w:t>
      </w:r>
      <w:r w:rsidR="009D5AC4">
        <w:rPr>
          <w:bCs/>
        </w:rPr>
        <w:t xml:space="preserve">, tvrtke u vlasništvu jedinica lokalne i područne (regionalne) </w:t>
      </w:r>
      <w:r w:rsidR="009D5AC4" w:rsidRPr="001F1B1E">
        <w:rPr>
          <w:bCs/>
        </w:rPr>
        <w:t>samouprave</w:t>
      </w:r>
      <w:r w:rsidR="009C2977" w:rsidRPr="001F1B1E">
        <w:rPr>
          <w:bCs/>
        </w:rPr>
        <w:t>,</w:t>
      </w:r>
      <w:r w:rsidR="00F30319" w:rsidRPr="001F1B1E">
        <w:rPr>
          <w:bCs/>
        </w:rPr>
        <w:t xml:space="preserve"> </w:t>
      </w:r>
      <w:r w:rsidR="009C2977" w:rsidRPr="001F1B1E">
        <w:rPr>
          <w:bCs/>
        </w:rPr>
        <w:t xml:space="preserve">a </w:t>
      </w:r>
      <w:r w:rsidR="00F30319" w:rsidRPr="001F1B1E">
        <w:rPr>
          <w:bCs/>
        </w:rPr>
        <w:t>koje upravljaju radom CGO-a</w:t>
      </w:r>
      <w:r w:rsidR="009D5AC4" w:rsidRPr="001F1B1E">
        <w:rPr>
          <w:bCs/>
        </w:rPr>
        <w:t>,</w:t>
      </w:r>
      <w:r w:rsidR="001E031F" w:rsidRPr="001F1B1E">
        <w:rPr>
          <w:bCs/>
        </w:rPr>
        <w:t xml:space="preserve"> </w:t>
      </w:r>
      <w:r w:rsidR="009C2977" w:rsidRPr="001F1B1E">
        <w:rPr>
          <w:bCs/>
        </w:rPr>
        <w:t>su</w:t>
      </w:r>
      <w:r w:rsidR="001E031F" w:rsidRPr="001F1B1E">
        <w:rPr>
          <w:bCs/>
        </w:rPr>
        <w:t xml:space="preserve">financirati </w:t>
      </w:r>
      <w:r w:rsidR="00B84901" w:rsidRPr="001F1B1E">
        <w:rPr>
          <w:bCs/>
        </w:rPr>
        <w:t>15</w:t>
      </w:r>
      <w:r w:rsidR="001E031F" w:rsidRPr="001F1B1E">
        <w:rPr>
          <w:bCs/>
        </w:rPr>
        <w:t>% prihvatljivih troškova</w:t>
      </w:r>
      <w:r w:rsidR="00E30945" w:rsidRPr="001F1B1E">
        <w:rPr>
          <w:bCs/>
        </w:rPr>
        <w:t xml:space="preserve"> što iznosi 44.096.580</w:t>
      </w:r>
      <w:r w:rsidR="008014F7">
        <w:rPr>
          <w:bCs/>
        </w:rPr>
        <w:t>,00</w:t>
      </w:r>
      <w:r w:rsidR="00E30945" w:rsidRPr="001F1B1E">
        <w:rPr>
          <w:bCs/>
        </w:rPr>
        <w:t xml:space="preserve"> EUR</w:t>
      </w:r>
      <w:r w:rsidR="00FA7CC4" w:rsidRPr="001F1B1E">
        <w:rPr>
          <w:bCs/>
        </w:rPr>
        <w:t xml:space="preserve">, a ostatak </w:t>
      </w:r>
      <w:r w:rsidR="00E30945" w:rsidRPr="001F1B1E">
        <w:rPr>
          <w:bCs/>
        </w:rPr>
        <w:t>u iznosu od 192.320.926</w:t>
      </w:r>
      <w:r w:rsidR="008014F7">
        <w:rPr>
          <w:bCs/>
        </w:rPr>
        <w:t>,00</w:t>
      </w:r>
      <w:r w:rsidR="00E30945" w:rsidRPr="001F1B1E">
        <w:rPr>
          <w:bCs/>
        </w:rPr>
        <w:t xml:space="preserve"> EUR </w:t>
      </w:r>
      <w:r w:rsidR="00282C1F" w:rsidRPr="001F1B1E">
        <w:rPr>
          <w:bCs/>
        </w:rPr>
        <w:t xml:space="preserve">će u jednakim omjerima </w:t>
      </w:r>
      <w:r w:rsidR="004E59CE">
        <w:rPr>
          <w:bCs/>
        </w:rPr>
        <w:t>osigurati</w:t>
      </w:r>
      <w:r w:rsidR="004E59CE" w:rsidRPr="001F1B1E">
        <w:rPr>
          <w:bCs/>
        </w:rPr>
        <w:t xml:space="preserve"> </w:t>
      </w:r>
      <w:r w:rsidR="009C2977" w:rsidRPr="001F1B1E">
        <w:rPr>
          <w:bCs/>
        </w:rPr>
        <w:t>Ministarstvo zaštite okoliša i zelene tranzicije kroz Državni proračun</w:t>
      </w:r>
      <w:r w:rsidR="00F30319" w:rsidRPr="001F1B1E">
        <w:rPr>
          <w:bCs/>
        </w:rPr>
        <w:t xml:space="preserve"> </w:t>
      </w:r>
      <w:r w:rsidR="001E031F" w:rsidRPr="001F1B1E">
        <w:rPr>
          <w:bCs/>
        </w:rPr>
        <w:t xml:space="preserve">i Fond za zaštitu okoliša i energetsku učinkovitost </w:t>
      </w:r>
      <w:r w:rsidR="004A2B5E" w:rsidRPr="001F1B1E">
        <w:rPr>
          <w:bCs/>
        </w:rPr>
        <w:t>(u daljnjem tekstu: Fond)</w:t>
      </w:r>
      <w:r w:rsidR="00D07201" w:rsidRPr="001F1B1E">
        <w:rPr>
          <w:bCs/>
        </w:rPr>
        <w:t>,</w:t>
      </w:r>
      <w:r w:rsidR="004A2B5E" w:rsidRPr="001F1B1E">
        <w:rPr>
          <w:bCs/>
        </w:rPr>
        <w:t xml:space="preserve"> </w:t>
      </w:r>
      <w:r w:rsidR="00282C1F" w:rsidRPr="001F1B1E">
        <w:rPr>
          <w:bCs/>
        </w:rPr>
        <w:t xml:space="preserve">odnosno svaki </w:t>
      </w:r>
      <w:r w:rsidR="001E031F" w:rsidRPr="001F1B1E">
        <w:rPr>
          <w:bCs/>
        </w:rPr>
        <w:t xml:space="preserve">u </w:t>
      </w:r>
      <w:r w:rsidR="00F30319" w:rsidRPr="001F1B1E">
        <w:rPr>
          <w:bCs/>
        </w:rPr>
        <w:t>iznosu od 96.160.463</w:t>
      </w:r>
      <w:r w:rsidR="008014F7">
        <w:rPr>
          <w:bCs/>
        </w:rPr>
        <w:t>,00</w:t>
      </w:r>
      <w:r w:rsidR="00F30319" w:rsidRPr="001F1B1E">
        <w:rPr>
          <w:bCs/>
        </w:rPr>
        <w:t xml:space="preserve"> EUR</w:t>
      </w:r>
      <w:r w:rsidR="00554B37" w:rsidRPr="001F1B1E">
        <w:rPr>
          <w:bCs/>
        </w:rPr>
        <w:t>.</w:t>
      </w:r>
    </w:p>
    <w:p w14:paraId="12FFD7EE" w14:textId="77777777" w:rsidR="00D73F93" w:rsidRPr="005B5736" w:rsidRDefault="00D73F93" w:rsidP="00811F76">
      <w:pPr>
        <w:pStyle w:val="Odlomakpopisa"/>
        <w:spacing w:line="259" w:lineRule="auto"/>
        <w:ind w:left="0" w:firstLine="1418"/>
        <w:jc w:val="both"/>
        <w:rPr>
          <w:bCs/>
        </w:rPr>
      </w:pPr>
    </w:p>
    <w:p w14:paraId="61649254" w14:textId="61E053B0" w:rsidR="00D73F93" w:rsidRDefault="00D73F93" w:rsidP="00BD65C6">
      <w:pPr>
        <w:pStyle w:val="Odlomakpopisa"/>
        <w:ind w:left="1276"/>
        <w:jc w:val="both"/>
      </w:pPr>
    </w:p>
    <w:p w14:paraId="7FF14247" w14:textId="77777777" w:rsidR="00E57AEF" w:rsidRDefault="00E57AEF" w:rsidP="003E70F9">
      <w:pPr>
        <w:pStyle w:val="Odlomakpopisa"/>
        <w:ind w:left="0" w:firstLine="1276"/>
        <w:jc w:val="both"/>
      </w:pPr>
    </w:p>
    <w:p w14:paraId="15628DBB" w14:textId="77777777" w:rsidR="00E57AEF" w:rsidRDefault="00E57AEF" w:rsidP="003E70F9">
      <w:pPr>
        <w:pStyle w:val="Odlomakpopisa"/>
        <w:ind w:left="0" w:firstLine="1276"/>
        <w:jc w:val="both"/>
      </w:pPr>
    </w:p>
    <w:p w14:paraId="3D0F4F8C" w14:textId="77777777" w:rsidR="00E57AEF" w:rsidRPr="00E24FEE" w:rsidRDefault="00E57AEF" w:rsidP="003E70F9">
      <w:pPr>
        <w:pStyle w:val="Odlomakpopisa"/>
        <w:ind w:left="0" w:firstLine="1276"/>
        <w:jc w:val="both"/>
      </w:pPr>
    </w:p>
    <w:p w14:paraId="1A467579" w14:textId="77777777" w:rsidR="0097507F" w:rsidRPr="00263DDD" w:rsidRDefault="0097507F" w:rsidP="0097507F">
      <w:pPr>
        <w:jc w:val="center"/>
        <w:rPr>
          <w:b/>
        </w:rPr>
      </w:pPr>
      <w:r w:rsidRPr="00263DDD">
        <w:rPr>
          <w:b/>
        </w:rPr>
        <w:t>III.</w:t>
      </w:r>
    </w:p>
    <w:p w14:paraId="1C155623" w14:textId="77777777" w:rsidR="0097507F" w:rsidRPr="00263DDD" w:rsidRDefault="0097507F" w:rsidP="0097507F">
      <w:pPr>
        <w:jc w:val="center"/>
        <w:rPr>
          <w:b/>
        </w:rPr>
      </w:pPr>
    </w:p>
    <w:p w14:paraId="79963283" w14:textId="1FA97F54" w:rsidR="0097507F" w:rsidRPr="00263DDD" w:rsidRDefault="001E031F" w:rsidP="00811F76">
      <w:pPr>
        <w:pStyle w:val="Odlomakpopisa"/>
        <w:spacing w:line="259" w:lineRule="auto"/>
        <w:ind w:left="0" w:firstLine="1418"/>
        <w:jc w:val="both"/>
        <w:rPr>
          <w:bCs/>
        </w:rPr>
      </w:pPr>
      <w:r w:rsidRPr="001E031F">
        <w:rPr>
          <w:bCs/>
        </w:rPr>
        <w:t>Zadužuje se Ministarstvo zaštite okoliša i zelene tranzicije da pripremi ugovore o sufinanciranju projekata kojima će se za svaki pojedini projekt definirati iznos preostalih prihvatljivih troškova i točni omjeri sufinanciranja, te da priprem</w:t>
      </w:r>
      <w:r w:rsidR="00AD4FB4">
        <w:rPr>
          <w:bCs/>
        </w:rPr>
        <w:t>i</w:t>
      </w:r>
      <w:r w:rsidRPr="001E031F">
        <w:rPr>
          <w:bCs/>
        </w:rPr>
        <w:t xml:space="preserve"> i Ugovor</w:t>
      </w:r>
      <w:r w:rsidR="00AD4FB4">
        <w:rPr>
          <w:bCs/>
        </w:rPr>
        <w:t>e</w:t>
      </w:r>
      <w:r w:rsidRPr="001E031F">
        <w:rPr>
          <w:bCs/>
        </w:rPr>
        <w:t xml:space="preserve"> o dodjeli bespovratnih sredstava </w:t>
      </w:r>
      <w:r w:rsidR="004E6750">
        <w:rPr>
          <w:bCs/>
        </w:rPr>
        <w:t xml:space="preserve">s korisnicima </w:t>
      </w:r>
      <w:r w:rsidRPr="001E031F">
        <w:rPr>
          <w:bCs/>
        </w:rPr>
        <w:t xml:space="preserve">sukladno propisanim pravilima za </w:t>
      </w:r>
      <w:r w:rsidR="00717DD5" w:rsidRPr="00717DD5">
        <w:rPr>
          <w:bCs/>
        </w:rPr>
        <w:t>PKK 2021.–2027.</w:t>
      </w:r>
    </w:p>
    <w:p w14:paraId="121CB577" w14:textId="77777777" w:rsidR="0097507F" w:rsidRDefault="0097507F" w:rsidP="0097507F">
      <w:pPr>
        <w:ind w:left="360"/>
        <w:jc w:val="both"/>
        <w:rPr>
          <w:bCs/>
        </w:rPr>
      </w:pPr>
    </w:p>
    <w:p w14:paraId="43B5DC08" w14:textId="77777777" w:rsidR="00B84901" w:rsidRPr="00263DDD" w:rsidRDefault="00B84901" w:rsidP="0097507F">
      <w:pPr>
        <w:ind w:left="360"/>
        <w:jc w:val="both"/>
        <w:rPr>
          <w:bCs/>
        </w:rPr>
      </w:pPr>
    </w:p>
    <w:p w14:paraId="32C6F8BF" w14:textId="77777777" w:rsidR="0097507F" w:rsidRPr="00263DDD" w:rsidRDefault="0097507F" w:rsidP="00384B72">
      <w:pPr>
        <w:jc w:val="center"/>
        <w:rPr>
          <w:b/>
        </w:rPr>
      </w:pPr>
      <w:r w:rsidRPr="00263DDD">
        <w:rPr>
          <w:b/>
        </w:rPr>
        <w:t>IV.</w:t>
      </w:r>
    </w:p>
    <w:p w14:paraId="16418910" w14:textId="77777777" w:rsidR="0097507F" w:rsidRPr="00263DDD" w:rsidRDefault="0097507F" w:rsidP="0097507F">
      <w:pPr>
        <w:ind w:left="360"/>
        <w:jc w:val="center"/>
        <w:rPr>
          <w:b/>
        </w:rPr>
      </w:pPr>
    </w:p>
    <w:p w14:paraId="6B33DDD6" w14:textId="126490CF" w:rsidR="0097507F" w:rsidRDefault="00B84901" w:rsidP="00811F76">
      <w:pPr>
        <w:pStyle w:val="Odlomakpopisa"/>
        <w:spacing w:line="259" w:lineRule="auto"/>
        <w:ind w:left="0" w:firstLine="1418"/>
        <w:jc w:val="both"/>
        <w:rPr>
          <w:bCs/>
        </w:rPr>
      </w:pPr>
      <w:r w:rsidRPr="001F6F9B">
        <w:t xml:space="preserve">Daje se suglasnost </w:t>
      </w:r>
      <w:r w:rsidRPr="00E4445F">
        <w:t xml:space="preserve">Ministarstvu </w:t>
      </w:r>
      <w:r w:rsidRPr="00263DDD">
        <w:rPr>
          <w:bCs/>
        </w:rPr>
        <w:t>zaštite okoliša i zelene tranzicije</w:t>
      </w:r>
      <w:r w:rsidRPr="00E477FD">
        <w:t xml:space="preserve"> </w:t>
      </w:r>
      <w:r w:rsidRPr="00E4445F">
        <w:t xml:space="preserve">za preuzimanje obveza na teret sredstava </w:t>
      </w:r>
      <w:r w:rsidR="004E6750">
        <w:t>D</w:t>
      </w:r>
      <w:r w:rsidRPr="00E4445F">
        <w:t xml:space="preserve">ržavnog proračuna </w:t>
      </w:r>
      <w:r w:rsidRPr="00384B72">
        <w:rPr>
          <w:bCs/>
        </w:rPr>
        <w:t>Republike</w:t>
      </w:r>
      <w:r w:rsidRPr="00E4445F">
        <w:t xml:space="preserve"> Hrvatske </w:t>
      </w:r>
      <w:r>
        <w:t>u razdoblju od 2025. do 202</w:t>
      </w:r>
      <w:r w:rsidR="00EB3A59">
        <w:t>8</w:t>
      </w:r>
      <w:r>
        <w:t xml:space="preserve">. godine u ukupnom iznosu od </w:t>
      </w:r>
      <w:r w:rsidR="007023FC" w:rsidRPr="007023FC">
        <w:t>153.720.159</w:t>
      </w:r>
      <w:r w:rsidR="008D58D7">
        <w:t>,00</w:t>
      </w:r>
      <w:r w:rsidR="00F94D47">
        <w:t xml:space="preserve"> </w:t>
      </w:r>
      <w:r w:rsidR="00E76E61">
        <w:t>EUR</w:t>
      </w:r>
      <w:r>
        <w:t xml:space="preserve"> </w:t>
      </w:r>
      <w:r w:rsidRPr="00E477FD">
        <w:t xml:space="preserve">za sklapanje ugovora </w:t>
      </w:r>
      <w:r>
        <w:t>iz točke III. ove Odluke kako slijedi</w:t>
      </w:r>
      <w:r w:rsidR="00B87DBE">
        <w:rPr>
          <w:bCs/>
        </w:rPr>
        <w:t>.</w:t>
      </w:r>
    </w:p>
    <w:p w14:paraId="3FD24F55" w14:textId="77777777" w:rsidR="00571C86" w:rsidRDefault="00571C86" w:rsidP="0097507F">
      <w:pPr>
        <w:pStyle w:val="Odlomakpopisa"/>
        <w:ind w:left="0" w:firstLine="1418"/>
        <w:jc w:val="both"/>
        <w:rPr>
          <w:bCs/>
        </w:rPr>
      </w:pPr>
    </w:p>
    <w:p w14:paraId="023A3BA3" w14:textId="7F7FC2EC" w:rsidR="00B84901" w:rsidRDefault="00B84901" w:rsidP="00B84901">
      <w:pPr>
        <w:pStyle w:val="Odlomakpopisa"/>
        <w:numPr>
          <w:ilvl w:val="0"/>
          <w:numId w:val="4"/>
        </w:numPr>
        <w:jc w:val="both"/>
      </w:pPr>
      <w:r>
        <w:t xml:space="preserve">Ugovori o sufinanciranju projekata u ukupnom iznosu </w:t>
      </w:r>
      <w:r w:rsidRPr="009C3581">
        <w:t xml:space="preserve">od </w:t>
      </w:r>
      <w:r w:rsidR="007023FC" w:rsidRPr="007023FC">
        <w:t>96.160.463</w:t>
      </w:r>
      <w:r w:rsidR="008D58D7">
        <w:t>,00</w:t>
      </w:r>
      <w:r w:rsidR="00F94D47">
        <w:t xml:space="preserve"> </w:t>
      </w:r>
      <w:r w:rsidR="00E76E61">
        <w:t>EUR</w:t>
      </w:r>
      <w:r>
        <w:t xml:space="preserve"> po godinama i iznosima kako slijedi:</w:t>
      </w:r>
    </w:p>
    <w:p w14:paraId="0F0E81D5" w14:textId="77777777" w:rsidR="00B84901" w:rsidRDefault="00B84901" w:rsidP="003E70F9">
      <w:pPr>
        <w:pStyle w:val="Odlomakpopisa"/>
        <w:ind w:left="1080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3279"/>
      </w:tblGrid>
      <w:tr w:rsidR="00B84901" w14:paraId="5DE7D4D7" w14:textId="77777777" w:rsidTr="003E70F9">
        <w:trPr>
          <w:jc w:val="center"/>
        </w:trPr>
        <w:tc>
          <w:tcPr>
            <w:tcW w:w="1111" w:type="dxa"/>
            <w:vAlign w:val="center"/>
          </w:tcPr>
          <w:p w14:paraId="3A9782E7" w14:textId="77777777" w:rsidR="00B84901" w:rsidRDefault="00B84901" w:rsidP="003E70F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Godina</w:t>
            </w:r>
          </w:p>
        </w:tc>
        <w:tc>
          <w:tcPr>
            <w:tcW w:w="3279" w:type="dxa"/>
            <w:vAlign w:val="center"/>
          </w:tcPr>
          <w:p w14:paraId="61859D13" w14:textId="77777777" w:rsidR="00B84901" w:rsidRDefault="00B84901" w:rsidP="003E70F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Izvor 11 Opći prihodi i primici</w:t>
            </w:r>
          </w:p>
        </w:tc>
      </w:tr>
      <w:tr w:rsidR="007023FC" w14:paraId="2CD74A3D" w14:textId="77777777" w:rsidTr="003E70F9">
        <w:trPr>
          <w:jc w:val="center"/>
        </w:trPr>
        <w:tc>
          <w:tcPr>
            <w:tcW w:w="1111" w:type="dxa"/>
          </w:tcPr>
          <w:p w14:paraId="21DD2E60" w14:textId="77777777" w:rsidR="007023FC" w:rsidRDefault="007023FC" w:rsidP="007023FC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2025.</w:t>
            </w:r>
          </w:p>
        </w:tc>
        <w:tc>
          <w:tcPr>
            <w:tcW w:w="3279" w:type="dxa"/>
          </w:tcPr>
          <w:p w14:paraId="3D48CC6D" w14:textId="045EC77C" w:rsidR="007023FC" w:rsidRDefault="007023FC" w:rsidP="007023FC">
            <w:pPr>
              <w:pStyle w:val="Odlomakpopisa"/>
              <w:ind w:left="0"/>
              <w:jc w:val="right"/>
              <w:rPr>
                <w:bCs/>
              </w:rPr>
            </w:pPr>
            <w:r w:rsidRPr="00FB152B">
              <w:t>16.684.764</w:t>
            </w:r>
            <w:r w:rsidR="008D58D7">
              <w:t>,00</w:t>
            </w:r>
          </w:p>
        </w:tc>
      </w:tr>
      <w:tr w:rsidR="007023FC" w14:paraId="21DC318C" w14:textId="77777777" w:rsidTr="003E70F9">
        <w:trPr>
          <w:jc w:val="center"/>
        </w:trPr>
        <w:tc>
          <w:tcPr>
            <w:tcW w:w="1111" w:type="dxa"/>
          </w:tcPr>
          <w:p w14:paraId="5A47DB6D" w14:textId="77777777" w:rsidR="007023FC" w:rsidRDefault="007023FC" w:rsidP="007023FC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2026.</w:t>
            </w:r>
          </w:p>
        </w:tc>
        <w:tc>
          <w:tcPr>
            <w:tcW w:w="3279" w:type="dxa"/>
          </w:tcPr>
          <w:p w14:paraId="11B9D990" w14:textId="0353764C" w:rsidR="007023FC" w:rsidRDefault="007023FC" w:rsidP="007023FC">
            <w:pPr>
              <w:pStyle w:val="Odlomakpopisa"/>
              <w:ind w:left="0"/>
              <w:jc w:val="right"/>
              <w:rPr>
                <w:bCs/>
              </w:rPr>
            </w:pPr>
            <w:r w:rsidRPr="00FB152B">
              <w:t>32.233.77</w:t>
            </w:r>
            <w:r w:rsidR="008D58D7">
              <w:t>7,00</w:t>
            </w:r>
          </w:p>
        </w:tc>
      </w:tr>
      <w:tr w:rsidR="007023FC" w14:paraId="3A0863B6" w14:textId="77777777" w:rsidTr="003E70F9">
        <w:trPr>
          <w:jc w:val="center"/>
        </w:trPr>
        <w:tc>
          <w:tcPr>
            <w:tcW w:w="1111" w:type="dxa"/>
          </w:tcPr>
          <w:p w14:paraId="17657F3C" w14:textId="77777777" w:rsidR="007023FC" w:rsidRDefault="007023FC" w:rsidP="007023FC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2027.</w:t>
            </w:r>
          </w:p>
        </w:tc>
        <w:tc>
          <w:tcPr>
            <w:tcW w:w="3279" w:type="dxa"/>
          </w:tcPr>
          <w:p w14:paraId="2BCEDD31" w14:textId="7DBBEB8A" w:rsidR="007023FC" w:rsidRDefault="007023FC" w:rsidP="007023FC">
            <w:pPr>
              <w:pStyle w:val="Odlomakpopisa"/>
              <w:ind w:left="0"/>
              <w:jc w:val="right"/>
              <w:rPr>
                <w:bCs/>
              </w:rPr>
            </w:pPr>
            <w:r w:rsidRPr="00FB152B">
              <w:t>20.108.988</w:t>
            </w:r>
            <w:r w:rsidR="008D58D7">
              <w:t>,00</w:t>
            </w:r>
          </w:p>
        </w:tc>
      </w:tr>
      <w:tr w:rsidR="007023FC" w14:paraId="6C1BE2D4" w14:textId="77777777" w:rsidTr="003E70F9">
        <w:trPr>
          <w:jc w:val="center"/>
        </w:trPr>
        <w:tc>
          <w:tcPr>
            <w:tcW w:w="1111" w:type="dxa"/>
          </w:tcPr>
          <w:p w14:paraId="6EE61ED2" w14:textId="77777777" w:rsidR="007023FC" w:rsidRDefault="007023FC" w:rsidP="007023FC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2028.</w:t>
            </w:r>
          </w:p>
        </w:tc>
        <w:tc>
          <w:tcPr>
            <w:tcW w:w="3279" w:type="dxa"/>
          </w:tcPr>
          <w:p w14:paraId="0D39591A" w14:textId="369E7F94" w:rsidR="007023FC" w:rsidRDefault="007023FC" w:rsidP="007023FC">
            <w:pPr>
              <w:pStyle w:val="Odlomakpopisa"/>
              <w:ind w:left="0"/>
              <w:jc w:val="right"/>
              <w:rPr>
                <w:bCs/>
              </w:rPr>
            </w:pPr>
            <w:r w:rsidRPr="00FB152B">
              <w:t>27.132.934</w:t>
            </w:r>
            <w:r w:rsidR="008D58D7">
              <w:t>,00</w:t>
            </w:r>
          </w:p>
        </w:tc>
      </w:tr>
      <w:tr w:rsidR="007023FC" w14:paraId="0604A2F2" w14:textId="77777777" w:rsidTr="003E70F9">
        <w:trPr>
          <w:jc w:val="center"/>
        </w:trPr>
        <w:tc>
          <w:tcPr>
            <w:tcW w:w="1111" w:type="dxa"/>
          </w:tcPr>
          <w:p w14:paraId="04D9DB8D" w14:textId="77777777" w:rsidR="007023FC" w:rsidRDefault="007023FC" w:rsidP="007023FC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Ukupno</w:t>
            </w:r>
          </w:p>
        </w:tc>
        <w:tc>
          <w:tcPr>
            <w:tcW w:w="3279" w:type="dxa"/>
          </w:tcPr>
          <w:p w14:paraId="34C85F81" w14:textId="6DC3332A" w:rsidR="007023FC" w:rsidRDefault="007023FC" w:rsidP="007023FC">
            <w:pPr>
              <w:pStyle w:val="Odlomakpopisa"/>
              <w:ind w:left="0"/>
              <w:jc w:val="right"/>
              <w:rPr>
                <w:bCs/>
              </w:rPr>
            </w:pPr>
            <w:r w:rsidRPr="00FB152B">
              <w:t>96.160.463</w:t>
            </w:r>
            <w:r w:rsidR="008D58D7">
              <w:t>,00</w:t>
            </w:r>
          </w:p>
        </w:tc>
      </w:tr>
    </w:tbl>
    <w:p w14:paraId="7AEBD189" w14:textId="77777777" w:rsidR="00B84901" w:rsidRDefault="00B84901" w:rsidP="0097507F">
      <w:pPr>
        <w:pStyle w:val="Odlomakpopisa"/>
        <w:ind w:left="0" w:firstLine="1418"/>
        <w:jc w:val="both"/>
        <w:rPr>
          <w:bCs/>
        </w:rPr>
      </w:pPr>
    </w:p>
    <w:p w14:paraId="43D27ABE" w14:textId="6E56B27C" w:rsidR="00B84901" w:rsidRDefault="00B84901" w:rsidP="00B84901">
      <w:pPr>
        <w:pStyle w:val="Odlomakpopisa"/>
        <w:numPr>
          <w:ilvl w:val="0"/>
          <w:numId w:val="4"/>
        </w:numPr>
        <w:jc w:val="both"/>
      </w:pPr>
      <w:r w:rsidRPr="00263DDD">
        <w:rPr>
          <w:bCs/>
        </w:rPr>
        <w:t>Ugovori o dodjeli bespovratnih sredstava</w:t>
      </w:r>
      <w:r>
        <w:rPr>
          <w:bCs/>
        </w:rPr>
        <w:t xml:space="preserve"> </w:t>
      </w:r>
      <w:r>
        <w:t xml:space="preserve">u ukupnom iznosu od </w:t>
      </w:r>
      <w:r w:rsidR="009C3581" w:rsidRPr="009C3581">
        <w:t>57.559.696</w:t>
      </w:r>
      <w:r w:rsidR="008D58D7">
        <w:t>,00</w:t>
      </w:r>
      <w:r>
        <w:t xml:space="preserve"> </w:t>
      </w:r>
      <w:r w:rsidR="00E76E61">
        <w:t>EUR</w:t>
      </w:r>
      <w:r>
        <w:t xml:space="preserve"> po godinama i iznosima kako slijedi:</w:t>
      </w:r>
    </w:p>
    <w:p w14:paraId="7CBB9C2B" w14:textId="77777777" w:rsidR="00B84901" w:rsidRDefault="00B84901" w:rsidP="0097507F">
      <w:pPr>
        <w:pStyle w:val="Odlomakpopisa"/>
        <w:ind w:left="0" w:firstLine="1418"/>
        <w:jc w:val="both"/>
        <w:rPr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3279"/>
      </w:tblGrid>
      <w:tr w:rsidR="0032281C" w14:paraId="1E3C8424" w14:textId="77777777" w:rsidTr="003E70F9">
        <w:trPr>
          <w:jc w:val="center"/>
        </w:trPr>
        <w:tc>
          <w:tcPr>
            <w:tcW w:w="1111" w:type="dxa"/>
            <w:vAlign w:val="center"/>
          </w:tcPr>
          <w:p w14:paraId="446312F5" w14:textId="77777777" w:rsidR="0032281C" w:rsidRDefault="0032281C" w:rsidP="0093360E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Godina</w:t>
            </w:r>
          </w:p>
        </w:tc>
        <w:tc>
          <w:tcPr>
            <w:tcW w:w="3279" w:type="dxa"/>
            <w:vAlign w:val="center"/>
          </w:tcPr>
          <w:p w14:paraId="27DB2C3A" w14:textId="77777777" w:rsidR="0032281C" w:rsidRDefault="0032281C" w:rsidP="003E70F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Izvor </w:t>
            </w:r>
            <w:r w:rsidR="0093360E">
              <w:rPr>
                <w:bCs/>
              </w:rPr>
              <w:t>563 Europski fond za regionalni razvoj</w:t>
            </w:r>
          </w:p>
        </w:tc>
      </w:tr>
      <w:tr w:rsidR="006C6C47" w14:paraId="5AC54EA6" w14:textId="77777777" w:rsidTr="00714FB1">
        <w:trPr>
          <w:jc w:val="center"/>
        </w:trPr>
        <w:tc>
          <w:tcPr>
            <w:tcW w:w="1111" w:type="dxa"/>
          </w:tcPr>
          <w:p w14:paraId="12A60F1B" w14:textId="77777777" w:rsidR="006C6C47" w:rsidRDefault="006C6C47" w:rsidP="006C6C47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2025.</w:t>
            </w:r>
          </w:p>
        </w:tc>
        <w:tc>
          <w:tcPr>
            <w:tcW w:w="3279" w:type="dxa"/>
          </w:tcPr>
          <w:p w14:paraId="079E30DD" w14:textId="18DC9F3F" w:rsidR="006C6C47" w:rsidRDefault="006C6C47" w:rsidP="006C6C47">
            <w:pPr>
              <w:pStyle w:val="Odlomakpopisa"/>
              <w:ind w:left="0"/>
              <w:jc w:val="right"/>
              <w:rPr>
                <w:bCs/>
              </w:rPr>
            </w:pPr>
            <w:r w:rsidRPr="008333F7">
              <w:t>12.517.674</w:t>
            </w:r>
            <w:r w:rsidR="008D58D7">
              <w:t>,00</w:t>
            </w:r>
          </w:p>
        </w:tc>
      </w:tr>
      <w:tr w:rsidR="006C6C47" w14:paraId="4666BF49" w14:textId="77777777" w:rsidTr="00714FB1">
        <w:trPr>
          <w:jc w:val="center"/>
        </w:trPr>
        <w:tc>
          <w:tcPr>
            <w:tcW w:w="1111" w:type="dxa"/>
          </w:tcPr>
          <w:p w14:paraId="5E671144" w14:textId="77777777" w:rsidR="006C6C47" w:rsidRDefault="006C6C47" w:rsidP="006C6C47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2026.</w:t>
            </w:r>
          </w:p>
        </w:tc>
        <w:tc>
          <w:tcPr>
            <w:tcW w:w="3279" w:type="dxa"/>
          </w:tcPr>
          <w:p w14:paraId="330E4B2D" w14:textId="71F5E232" w:rsidR="006C6C47" w:rsidRDefault="006C6C47" w:rsidP="006C6C47">
            <w:pPr>
              <w:pStyle w:val="Odlomakpopisa"/>
              <w:ind w:left="0"/>
              <w:jc w:val="right"/>
              <w:rPr>
                <w:bCs/>
              </w:rPr>
            </w:pPr>
            <w:r w:rsidRPr="008333F7">
              <w:t>22.347.159</w:t>
            </w:r>
            <w:r w:rsidR="008D58D7">
              <w:t>,00</w:t>
            </w:r>
          </w:p>
        </w:tc>
      </w:tr>
      <w:tr w:rsidR="006C6C47" w14:paraId="0EC4FF02" w14:textId="77777777" w:rsidTr="00714FB1">
        <w:trPr>
          <w:jc w:val="center"/>
        </w:trPr>
        <w:tc>
          <w:tcPr>
            <w:tcW w:w="1111" w:type="dxa"/>
          </w:tcPr>
          <w:p w14:paraId="6EC5275D" w14:textId="77777777" w:rsidR="006C6C47" w:rsidRDefault="006C6C47" w:rsidP="006C6C47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2027.</w:t>
            </w:r>
          </w:p>
        </w:tc>
        <w:tc>
          <w:tcPr>
            <w:tcW w:w="3279" w:type="dxa"/>
          </w:tcPr>
          <w:p w14:paraId="1C83FE71" w14:textId="7CFB4C0C" w:rsidR="006C6C47" w:rsidRDefault="006C6C47" w:rsidP="006C6C47">
            <w:pPr>
              <w:pStyle w:val="Odlomakpopisa"/>
              <w:ind w:left="0"/>
              <w:jc w:val="right"/>
              <w:rPr>
                <w:bCs/>
              </w:rPr>
            </w:pPr>
            <w:r w:rsidRPr="008333F7">
              <w:t>9.233.494</w:t>
            </w:r>
            <w:r w:rsidR="008D58D7">
              <w:t>,00</w:t>
            </w:r>
          </w:p>
        </w:tc>
      </w:tr>
      <w:tr w:rsidR="006C6C47" w14:paraId="4E623B11" w14:textId="77777777" w:rsidTr="00714FB1">
        <w:trPr>
          <w:jc w:val="center"/>
        </w:trPr>
        <w:tc>
          <w:tcPr>
            <w:tcW w:w="1111" w:type="dxa"/>
          </w:tcPr>
          <w:p w14:paraId="3677ADEB" w14:textId="77777777" w:rsidR="006C6C47" w:rsidRDefault="006C6C47" w:rsidP="006C6C47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2028.</w:t>
            </w:r>
          </w:p>
        </w:tc>
        <w:tc>
          <w:tcPr>
            <w:tcW w:w="3279" w:type="dxa"/>
          </w:tcPr>
          <w:p w14:paraId="2857E112" w14:textId="5D9BE5CC" w:rsidR="006C6C47" w:rsidRPr="0093360E" w:rsidRDefault="006C6C47" w:rsidP="006C6C47">
            <w:pPr>
              <w:pStyle w:val="Odlomakpopisa"/>
              <w:ind w:left="0"/>
              <w:jc w:val="right"/>
              <w:rPr>
                <w:bCs/>
              </w:rPr>
            </w:pPr>
            <w:r w:rsidRPr="008333F7">
              <w:t>13.461.369</w:t>
            </w:r>
            <w:r w:rsidR="008D58D7">
              <w:t>,00</w:t>
            </w:r>
          </w:p>
        </w:tc>
      </w:tr>
      <w:tr w:rsidR="0032281C" w14:paraId="386F9BC4" w14:textId="77777777" w:rsidTr="00714FB1">
        <w:trPr>
          <w:jc w:val="center"/>
        </w:trPr>
        <w:tc>
          <w:tcPr>
            <w:tcW w:w="1111" w:type="dxa"/>
          </w:tcPr>
          <w:p w14:paraId="2980D89D" w14:textId="77777777" w:rsidR="0032281C" w:rsidRDefault="0032281C" w:rsidP="00714FB1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Ukupno</w:t>
            </w:r>
          </w:p>
        </w:tc>
        <w:tc>
          <w:tcPr>
            <w:tcW w:w="3279" w:type="dxa"/>
          </w:tcPr>
          <w:p w14:paraId="4F02C5EB" w14:textId="59E0A50F" w:rsidR="0032281C" w:rsidRDefault="0093360E" w:rsidP="003E70F9">
            <w:pPr>
              <w:pStyle w:val="Odlomakpopisa"/>
              <w:ind w:left="0"/>
              <w:jc w:val="right"/>
              <w:rPr>
                <w:bCs/>
              </w:rPr>
            </w:pPr>
            <w:r w:rsidRPr="0093360E">
              <w:rPr>
                <w:bCs/>
              </w:rPr>
              <w:t>57.559.696</w:t>
            </w:r>
            <w:r w:rsidR="008D58D7">
              <w:rPr>
                <w:bCs/>
              </w:rPr>
              <w:t>,00</w:t>
            </w:r>
          </w:p>
        </w:tc>
      </w:tr>
    </w:tbl>
    <w:p w14:paraId="2CB78E6A" w14:textId="77777777" w:rsidR="0032281C" w:rsidRDefault="0032281C" w:rsidP="0097507F">
      <w:pPr>
        <w:pStyle w:val="Odlomakpopisa"/>
        <w:ind w:left="0" w:firstLine="1418"/>
        <w:jc w:val="both"/>
        <w:rPr>
          <w:bCs/>
        </w:rPr>
      </w:pPr>
    </w:p>
    <w:p w14:paraId="740B2174" w14:textId="08D7A404" w:rsidR="00A56576" w:rsidRDefault="00A56576" w:rsidP="00811F76">
      <w:pPr>
        <w:pStyle w:val="Odlomakpopisa"/>
        <w:spacing w:line="259" w:lineRule="auto"/>
        <w:ind w:left="0" w:firstLine="1418"/>
        <w:jc w:val="both"/>
        <w:rPr>
          <w:bCs/>
        </w:rPr>
      </w:pPr>
      <w:r w:rsidRPr="00A56576">
        <w:rPr>
          <w:bCs/>
        </w:rPr>
        <w:t xml:space="preserve">Sredstva Državnog proračuna Republike Hrvatske za financiranje </w:t>
      </w:r>
      <w:r w:rsidR="00AD4FB4">
        <w:rPr>
          <w:bCs/>
        </w:rPr>
        <w:t xml:space="preserve">procijenjenih </w:t>
      </w:r>
      <w:r w:rsidRPr="00A56576">
        <w:rPr>
          <w:bCs/>
        </w:rPr>
        <w:t>prihvatljivih troškova projekata iz točke I. ove Odluke planirana su u Državnom proračunu Republike Hrvatske za 2024. godinu i projekcijama za 2025. i 2026. godinu, na Razdjelu 078, Glavi 07805 Ministarstvo zaštite okoliša i zelene tranzicije, aktivnosti K905056 Program Konkurentnost i Kohezija 2021. – 2027.</w:t>
      </w:r>
    </w:p>
    <w:p w14:paraId="3BF6AB84" w14:textId="77777777" w:rsidR="00A56576" w:rsidRDefault="00A56576" w:rsidP="0097507F">
      <w:pPr>
        <w:pStyle w:val="Odlomakpopisa"/>
        <w:ind w:left="0" w:firstLine="1418"/>
        <w:jc w:val="both"/>
        <w:rPr>
          <w:bCs/>
        </w:rPr>
      </w:pPr>
    </w:p>
    <w:p w14:paraId="3DF221FA" w14:textId="45BA00BC" w:rsidR="00A56576" w:rsidRDefault="00A56576" w:rsidP="0097507F">
      <w:pPr>
        <w:pStyle w:val="Odlomakpopisa"/>
        <w:ind w:left="0" w:firstLine="1418"/>
        <w:jc w:val="both"/>
        <w:rPr>
          <w:bCs/>
        </w:rPr>
      </w:pPr>
      <w:r w:rsidRPr="00A56576">
        <w:rPr>
          <w:bCs/>
        </w:rPr>
        <w:t>Plaćanja koja proizlaze iz obveza preuzetih u skladu s ovom Odlukom Ministarstvo zaštite okoliša i zelene tranzicije dužno je uključiti u financijski plan u godini u kojoj obveza dospijeva</w:t>
      </w:r>
      <w:r w:rsidR="009C2290">
        <w:rPr>
          <w:bCs/>
        </w:rPr>
        <w:t>.</w:t>
      </w:r>
    </w:p>
    <w:p w14:paraId="18DF34AE" w14:textId="77777777" w:rsidR="003E30F1" w:rsidRDefault="003E30F1" w:rsidP="0097507F">
      <w:pPr>
        <w:pStyle w:val="Odlomakpopisa"/>
        <w:ind w:left="0" w:firstLine="1418"/>
        <w:jc w:val="both"/>
        <w:rPr>
          <w:bCs/>
        </w:rPr>
      </w:pPr>
    </w:p>
    <w:p w14:paraId="1F7323EA" w14:textId="77777777" w:rsidR="00E57AEF" w:rsidRDefault="00E57AEF" w:rsidP="0097507F">
      <w:pPr>
        <w:pStyle w:val="Odlomakpopisa"/>
        <w:ind w:left="0" w:firstLine="1418"/>
        <w:jc w:val="both"/>
        <w:rPr>
          <w:bCs/>
        </w:rPr>
      </w:pPr>
    </w:p>
    <w:p w14:paraId="45F4A538" w14:textId="77777777" w:rsidR="003E30F1" w:rsidRDefault="003E30F1" w:rsidP="00384B72">
      <w:pPr>
        <w:jc w:val="center"/>
        <w:rPr>
          <w:b/>
        </w:rPr>
      </w:pPr>
      <w:r w:rsidRPr="00D6079A">
        <w:rPr>
          <w:b/>
        </w:rPr>
        <w:t>V.</w:t>
      </w:r>
    </w:p>
    <w:p w14:paraId="55731D0D" w14:textId="77777777" w:rsidR="0032281C" w:rsidRPr="0032281C" w:rsidRDefault="0032281C" w:rsidP="003E70F9">
      <w:pPr>
        <w:jc w:val="both"/>
        <w:rPr>
          <w:bCs/>
        </w:rPr>
      </w:pPr>
      <w:r w:rsidRPr="0032281C">
        <w:rPr>
          <w:bCs/>
        </w:rPr>
        <w:t xml:space="preserve"> </w:t>
      </w:r>
    </w:p>
    <w:p w14:paraId="3C2E4F0B" w14:textId="33EDE2CE" w:rsidR="0032281C" w:rsidRDefault="00A56576" w:rsidP="00811F76">
      <w:pPr>
        <w:pStyle w:val="Odlomakpopisa"/>
        <w:spacing w:line="259" w:lineRule="auto"/>
        <w:ind w:left="0" w:firstLine="1418"/>
        <w:jc w:val="both"/>
        <w:rPr>
          <w:bCs/>
        </w:rPr>
      </w:pPr>
      <w:bookmarkStart w:id="1" w:name="_Hlk182304263"/>
      <w:r w:rsidRPr="00A56576">
        <w:rPr>
          <w:bCs/>
        </w:rPr>
        <w:t>Sredstva Fonda u ukupnom iznosu najviše do 96.160.463</w:t>
      </w:r>
      <w:r w:rsidR="009A78D0">
        <w:rPr>
          <w:bCs/>
        </w:rPr>
        <w:t>,00</w:t>
      </w:r>
      <w:r w:rsidRPr="00A56576">
        <w:rPr>
          <w:bCs/>
        </w:rPr>
        <w:t xml:space="preserve"> EUR za sufinanciranje procijenjenih prihvatljivih troškova Projekata osigurana su djelomično na aktivnosti K200003 – Gospodarenje otpadom - Izgradnja centara za gospodarenje otpadom  iz prihoda od prodaje emisijskih jedinica putem dražbi sukladno Planu korištenja financijskih sredstava dobivenih od prodaje emisijskih jedinica putem dražbi u Republici Hrvatskoj do 2020. godine</w:t>
      </w:r>
      <w:r w:rsidR="00EB384B">
        <w:rPr>
          <w:bCs/>
        </w:rPr>
        <w:t xml:space="preserve"> („Narodne novine“, br. 19/18</w:t>
      </w:r>
      <w:r w:rsidR="00F92765">
        <w:rPr>
          <w:bCs/>
        </w:rPr>
        <w:t>, 84/19</w:t>
      </w:r>
      <w:r w:rsidR="00EB384B">
        <w:rPr>
          <w:bCs/>
        </w:rPr>
        <w:t>)</w:t>
      </w:r>
      <w:r w:rsidRPr="00A56576">
        <w:rPr>
          <w:bCs/>
        </w:rPr>
        <w:t>, iz prihoda od prodaje emisijskih jedinica putem dražbi sukladno Planu korištenja financijskih sredstava dobivenih od prodaje emisijskih jedinica putem dražbi u Republici Hrvatskoj od 2021. do 2025. godine</w:t>
      </w:r>
      <w:r w:rsidR="00EB384B">
        <w:rPr>
          <w:bCs/>
        </w:rPr>
        <w:t xml:space="preserve"> </w:t>
      </w:r>
      <w:r w:rsidR="00FC48ED">
        <w:rPr>
          <w:bCs/>
        </w:rPr>
        <w:t>(</w:t>
      </w:r>
      <w:r w:rsidR="00EB384B" w:rsidRPr="00EB384B">
        <w:rPr>
          <w:bCs/>
        </w:rPr>
        <w:t>KLASA: 022-03/21-04/76, URBROJ: 50301-05/27-21-3, od 18. lipnja 2021.</w:t>
      </w:r>
      <w:r w:rsidR="00F92765">
        <w:rPr>
          <w:bCs/>
        </w:rPr>
        <w:t xml:space="preserve"> </w:t>
      </w:r>
      <w:r w:rsidR="009A78D0">
        <w:rPr>
          <w:bCs/>
        </w:rPr>
        <w:t>i KLASA: 022-03/22-04/82, URBROJ: 50301-05/27-22-2, od 9. ožujka 2022.)</w:t>
      </w:r>
      <w:r w:rsidRPr="00A56576">
        <w:rPr>
          <w:bCs/>
        </w:rPr>
        <w:t>, te će se preostali iznos sredstava osigurati sukladno raspoloživim izvorima financiranja i dinamici provođenja projekata u financijskom planu Fonda za 2025. godinu s projekcijama za 2026. i 2027. godinu odnosno u financijskom planu u godini u kojoj obveza dospijeva.</w:t>
      </w:r>
    </w:p>
    <w:bookmarkEnd w:id="1"/>
    <w:p w14:paraId="579B323C" w14:textId="77777777" w:rsidR="00013773" w:rsidRDefault="00013773" w:rsidP="00CA7C23">
      <w:pPr>
        <w:pStyle w:val="Odlomakpopisa"/>
        <w:ind w:left="1080"/>
        <w:jc w:val="both"/>
      </w:pPr>
    </w:p>
    <w:p w14:paraId="569A120C" w14:textId="77777777" w:rsidR="00E57AEF" w:rsidRDefault="00E57AEF" w:rsidP="00CA7C23">
      <w:pPr>
        <w:pStyle w:val="Odlomakpopisa"/>
        <w:ind w:left="1080"/>
        <w:jc w:val="both"/>
      </w:pPr>
    </w:p>
    <w:p w14:paraId="77E30E72" w14:textId="77777777" w:rsidR="00D76018" w:rsidRDefault="00D76018" w:rsidP="0032281C">
      <w:pPr>
        <w:pStyle w:val="Odlomakpopisa"/>
        <w:ind w:left="1080"/>
        <w:jc w:val="center"/>
      </w:pPr>
    </w:p>
    <w:p w14:paraId="5CAE25C5" w14:textId="77777777" w:rsidR="0097507F" w:rsidRPr="00263DDD" w:rsidRDefault="0097507F" w:rsidP="00384B72">
      <w:pPr>
        <w:jc w:val="center"/>
        <w:rPr>
          <w:b/>
        </w:rPr>
      </w:pPr>
      <w:bookmarkStart w:id="2" w:name="_Hlk153183033"/>
      <w:r w:rsidRPr="00263DDD">
        <w:rPr>
          <w:b/>
        </w:rPr>
        <w:t>V</w:t>
      </w:r>
      <w:r w:rsidR="00D1489E">
        <w:rPr>
          <w:b/>
        </w:rPr>
        <w:t>I</w:t>
      </w:r>
      <w:r w:rsidRPr="00263DDD">
        <w:rPr>
          <w:b/>
        </w:rPr>
        <w:t>.</w:t>
      </w:r>
    </w:p>
    <w:p w14:paraId="1FEBE83C" w14:textId="77777777" w:rsidR="0097507F" w:rsidRPr="0032281C" w:rsidRDefault="0097507F" w:rsidP="003E70F9">
      <w:pPr>
        <w:jc w:val="both"/>
        <w:rPr>
          <w:bCs/>
        </w:rPr>
      </w:pPr>
    </w:p>
    <w:p w14:paraId="1C9453BA" w14:textId="1B947CAA" w:rsidR="00A56576" w:rsidRPr="00A56576" w:rsidRDefault="00AD4FB4" w:rsidP="001F1B1E">
      <w:pPr>
        <w:pStyle w:val="Odlomakpopisa"/>
        <w:ind w:left="0" w:firstLine="1418"/>
        <w:jc w:val="both"/>
        <w:rPr>
          <w:bCs/>
        </w:rPr>
      </w:pPr>
      <w:r>
        <w:t>Z</w:t>
      </w:r>
      <w:r w:rsidR="00A56576" w:rsidRPr="00A56576">
        <w:t>adužuje se Fond sklopiti ugovore o sufinanciranju Projekata s Korisnicima za</w:t>
      </w:r>
      <w:r w:rsidR="00A56576" w:rsidRPr="00A56576">
        <w:rPr>
          <w:bCs/>
        </w:rPr>
        <w:t xml:space="preserve">: </w:t>
      </w:r>
    </w:p>
    <w:p w14:paraId="015CCF8E" w14:textId="77777777" w:rsidR="00A56576" w:rsidRPr="00A56576" w:rsidRDefault="00A56576" w:rsidP="00A56576">
      <w:pPr>
        <w:jc w:val="both"/>
        <w:rPr>
          <w:bCs/>
        </w:rPr>
      </w:pPr>
    </w:p>
    <w:p w14:paraId="43651D08" w14:textId="72836DC3" w:rsidR="00A56576" w:rsidRPr="00A56576" w:rsidRDefault="00A56576" w:rsidP="001F1B1E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bookmarkStart w:id="3" w:name="_Hlk181880564"/>
      <w:r w:rsidRPr="00A56576">
        <w:rPr>
          <w:rFonts w:eastAsiaTheme="minorHAnsi"/>
          <w:kern w:val="2"/>
          <w:lang w:eastAsia="en-US"/>
          <w14:ligatures w14:val="standardContextual"/>
        </w:rPr>
        <w:t xml:space="preserve">CGO Babina gora </w:t>
      </w:r>
      <w:bookmarkStart w:id="4" w:name="_Hlk181959586"/>
      <w:r w:rsidRPr="00A56576">
        <w:rPr>
          <w:rFonts w:eastAsiaTheme="minorHAnsi"/>
          <w:kern w:val="2"/>
          <w:lang w:eastAsia="en-US"/>
          <w14:ligatures w14:val="standardContextual"/>
        </w:rPr>
        <w:t xml:space="preserve">čiji ukupno procijenjeni prihvatljivi troškovi Projekta </w:t>
      </w:r>
      <w:bookmarkEnd w:id="4"/>
      <w:r w:rsidRPr="00A56576">
        <w:rPr>
          <w:rFonts w:eastAsiaTheme="minorHAnsi"/>
          <w:kern w:val="2"/>
          <w:lang w:eastAsia="en-US"/>
          <w14:ligatures w14:val="standardContextual"/>
        </w:rPr>
        <w:t>u okviru PKK iznose 41.489.197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 sufinancirat će se sredstvima Fonda najviše u iznosu do</w:t>
      </w:r>
      <w:r w:rsidRPr="00A56576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56576">
        <w:rPr>
          <w:rFonts w:eastAsiaTheme="minorHAnsi"/>
          <w:kern w:val="2"/>
          <w:lang w:eastAsia="en-US"/>
          <w14:ligatures w14:val="standardContextual"/>
        </w:rPr>
        <w:t>10.437.947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 odnosno najviše do 26 % procijenjenih prihvatljivih troškova Projekta.  </w:t>
      </w:r>
    </w:p>
    <w:bookmarkEnd w:id="3"/>
    <w:p w14:paraId="191793A6" w14:textId="77777777" w:rsidR="00A56576" w:rsidRPr="00A56576" w:rsidRDefault="00A56576" w:rsidP="00A56576">
      <w:pPr>
        <w:spacing w:after="160" w:line="259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88815AE" w14:textId="5B7D09C4" w:rsidR="00A56576" w:rsidRPr="00A56576" w:rsidRDefault="00A56576" w:rsidP="001F1B1E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bookmarkStart w:id="5" w:name="_Hlk181883981"/>
      <w:r w:rsidRPr="00A56576">
        <w:rPr>
          <w:rFonts w:eastAsiaTheme="minorHAnsi"/>
          <w:kern w:val="2"/>
          <w:lang w:eastAsia="en-US"/>
          <w14:ligatures w14:val="standardContextual"/>
        </w:rPr>
        <w:t>CGO Lećevica čiji ukupno procijenjeni prihvatljivi troškovi Projekta u okviru PKK iznose 93.578.043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EUR, sufinancirat će se sredstvima Fonda najviše u iznosu do 32.575.706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EUR, odnosno najviše do 35 % procijenjenih prihvatljivih troškova Projekta. </w:t>
      </w:r>
    </w:p>
    <w:p w14:paraId="57B48DE6" w14:textId="77777777" w:rsidR="00A56576" w:rsidRPr="00A56576" w:rsidRDefault="00A56576" w:rsidP="00A56576">
      <w:pPr>
        <w:spacing w:after="160" w:line="259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bookmarkEnd w:id="5"/>
    <w:p w14:paraId="44B49AA7" w14:textId="1C3BA02F" w:rsidR="00A56576" w:rsidRPr="00A56576" w:rsidRDefault="00A56576" w:rsidP="001F1B1E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6576">
        <w:rPr>
          <w:rFonts w:eastAsiaTheme="minorHAnsi"/>
          <w:kern w:val="2"/>
          <w:lang w:eastAsia="en-US"/>
          <w14:ligatures w14:val="standardContextual"/>
        </w:rPr>
        <w:t>CGO Lučino razdolje čiji ukupno procijenjeni</w:t>
      </w:r>
      <w:r w:rsidR="00AD4FB4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A56576">
        <w:rPr>
          <w:rFonts w:eastAsiaTheme="minorHAnsi"/>
          <w:kern w:val="2"/>
          <w:lang w:eastAsia="en-US"/>
          <w14:ligatures w14:val="standardContextual"/>
        </w:rPr>
        <w:t>prihvatljivi troškovi Projekta u okviru PKK  iznose 67.346.729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 sufinancirat će se sredstvima Fonda najviše u iznosu do 21.427.398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 odnosno najviše do 32 % procijenjenih prihvatljivih troškova Projekta. </w:t>
      </w:r>
    </w:p>
    <w:p w14:paraId="5F9DDA4C" w14:textId="77777777" w:rsidR="00A56576" w:rsidRPr="00A56576" w:rsidRDefault="00A56576" w:rsidP="00A56576">
      <w:pPr>
        <w:spacing w:after="160" w:line="259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45CC8973" w14:textId="446A4FEF" w:rsidR="00A56576" w:rsidRPr="00A56576" w:rsidRDefault="00A56576" w:rsidP="001F1B1E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A56576">
        <w:rPr>
          <w:rFonts w:eastAsiaTheme="minorHAnsi"/>
          <w:kern w:val="2"/>
          <w:lang w:eastAsia="en-US"/>
          <w14:ligatures w14:val="standardContextual"/>
        </w:rPr>
        <w:t>CGO Piškornica čij</w:t>
      </w:r>
      <w:r w:rsidR="00AD4FB4">
        <w:rPr>
          <w:rFonts w:eastAsiaTheme="minorHAnsi"/>
          <w:kern w:val="2"/>
          <w:lang w:eastAsia="en-US"/>
          <w14:ligatures w14:val="standardContextual"/>
        </w:rPr>
        <w:t>i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AD4FB4" w:rsidRPr="00AD4FB4">
        <w:rPr>
          <w:rFonts w:eastAsiaTheme="minorHAnsi"/>
          <w:kern w:val="2"/>
          <w:lang w:eastAsia="en-US"/>
          <w14:ligatures w14:val="standardContextual"/>
        </w:rPr>
        <w:t xml:space="preserve">ukupno procijenjeni prihvatljivi troškovi </w:t>
      </w:r>
      <w:r w:rsidRPr="00A56576">
        <w:rPr>
          <w:rFonts w:eastAsiaTheme="minorHAnsi"/>
          <w:kern w:val="2"/>
          <w:lang w:eastAsia="en-US"/>
          <w14:ligatures w14:val="standardContextual"/>
        </w:rPr>
        <w:t>Projekta u okviru PKK iznos</w:t>
      </w:r>
      <w:r w:rsidR="00AD4FB4">
        <w:rPr>
          <w:rFonts w:eastAsiaTheme="minorHAnsi"/>
          <w:kern w:val="2"/>
          <w:lang w:eastAsia="en-US"/>
          <w14:ligatures w14:val="standardContextual"/>
        </w:rPr>
        <w:t>e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91.563.233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 sufinancirat će se sredstvima Fonda najviše u iznosu do 31.719.412</w:t>
      </w:r>
      <w:r w:rsidR="008014F7">
        <w:rPr>
          <w:rFonts w:eastAsiaTheme="minorHAnsi"/>
          <w:kern w:val="2"/>
          <w:lang w:eastAsia="en-US"/>
          <w14:ligatures w14:val="standardContextual"/>
        </w:rPr>
        <w:t>,00</w:t>
      </w:r>
      <w:r w:rsidRPr="00A56576">
        <w:rPr>
          <w:rFonts w:eastAsiaTheme="minorHAnsi"/>
          <w:kern w:val="2"/>
          <w:lang w:eastAsia="en-US"/>
          <w14:ligatures w14:val="standardContextual"/>
        </w:rPr>
        <w:t xml:space="preserve"> EUR što čini najviše do 35 % procijenjenih  prihvatljivih troškova Projekta. </w:t>
      </w:r>
    </w:p>
    <w:p w14:paraId="498D472C" w14:textId="77777777" w:rsidR="00571C86" w:rsidRDefault="00571C86" w:rsidP="00CA7C23">
      <w:pPr>
        <w:pStyle w:val="Odlomakpopisa"/>
        <w:ind w:left="360"/>
        <w:jc w:val="center"/>
        <w:rPr>
          <w:b/>
        </w:rPr>
      </w:pPr>
    </w:p>
    <w:p w14:paraId="7F470B3A" w14:textId="77777777" w:rsidR="00C169DC" w:rsidRDefault="00C169DC" w:rsidP="00CA7C23">
      <w:pPr>
        <w:pStyle w:val="Odlomakpopisa"/>
        <w:ind w:left="360"/>
        <w:jc w:val="center"/>
        <w:rPr>
          <w:b/>
        </w:rPr>
      </w:pPr>
    </w:p>
    <w:p w14:paraId="5B7FECBD" w14:textId="77777777" w:rsidR="00C169DC" w:rsidRDefault="00C169DC" w:rsidP="00CA7C23">
      <w:pPr>
        <w:pStyle w:val="Odlomakpopisa"/>
        <w:ind w:left="360"/>
        <w:jc w:val="center"/>
        <w:rPr>
          <w:b/>
        </w:rPr>
      </w:pPr>
    </w:p>
    <w:p w14:paraId="200891A0" w14:textId="77777777" w:rsidR="00C169DC" w:rsidRDefault="00C169DC" w:rsidP="00CA7C23">
      <w:pPr>
        <w:pStyle w:val="Odlomakpopisa"/>
        <w:ind w:left="360"/>
        <w:jc w:val="center"/>
        <w:rPr>
          <w:b/>
        </w:rPr>
      </w:pPr>
    </w:p>
    <w:p w14:paraId="486A5408" w14:textId="77777777" w:rsidR="00E57AEF" w:rsidRPr="00811F76" w:rsidRDefault="00E57AEF" w:rsidP="00811F76">
      <w:pPr>
        <w:rPr>
          <w:b/>
        </w:rPr>
      </w:pPr>
    </w:p>
    <w:p w14:paraId="4BF035C8" w14:textId="77777777" w:rsidR="00571C86" w:rsidRDefault="00571C86" w:rsidP="00CA7C23">
      <w:pPr>
        <w:pStyle w:val="Odlomakpopisa"/>
        <w:ind w:left="360"/>
        <w:jc w:val="center"/>
        <w:rPr>
          <w:b/>
        </w:rPr>
      </w:pPr>
    </w:p>
    <w:p w14:paraId="594C087B" w14:textId="786F1684" w:rsidR="00D1489E" w:rsidRDefault="00D1489E" w:rsidP="00384B72">
      <w:pPr>
        <w:jc w:val="center"/>
        <w:rPr>
          <w:b/>
        </w:rPr>
      </w:pPr>
      <w:r w:rsidRPr="00CA7C23">
        <w:rPr>
          <w:b/>
        </w:rPr>
        <w:t>VII.</w:t>
      </w:r>
    </w:p>
    <w:p w14:paraId="54EE33D2" w14:textId="77777777" w:rsidR="00B129E2" w:rsidRPr="00D6079A" w:rsidRDefault="00B129E2" w:rsidP="00CA7C23">
      <w:pPr>
        <w:pStyle w:val="Odlomakpopisa"/>
        <w:ind w:left="360"/>
        <w:jc w:val="center"/>
        <w:rPr>
          <w:b/>
        </w:rPr>
      </w:pPr>
    </w:p>
    <w:p w14:paraId="5146D0A9" w14:textId="3D894A68" w:rsidR="00D1489E" w:rsidRPr="00D6079A" w:rsidRDefault="00571C86" w:rsidP="00CA7C23">
      <w:pPr>
        <w:pStyle w:val="Odlomakpopisa"/>
        <w:ind w:left="0" w:firstLine="1418"/>
        <w:jc w:val="both"/>
        <w:rPr>
          <w:bCs/>
        </w:rPr>
      </w:pPr>
      <w:r w:rsidRPr="00571C86">
        <w:rPr>
          <w:bCs/>
        </w:rPr>
        <w:t xml:space="preserve">Ova Odluka stupa na snagu </w:t>
      </w:r>
      <w:r w:rsidR="005D652E">
        <w:rPr>
          <w:bCs/>
        </w:rPr>
        <w:t>danom donošenja.</w:t>
      </w:r>
      <w:r w:rsidRPr="00571C86" w:rsidDel="00571C86">
        <w:rPr>
          <w:bCs/>
        </w:rPr>
        <w:t xml:space="preserve"> </w:t>
      </w:r>
    </w:p>
    <w:p w14:paraId="24BFC747" w14:textId="77777777" w:rsidR="00D1489E" w:rsidRPr="00263DDD" w:rsidRDefault="00D1489E" w:rsidP="00CA7C23">
      <w:pPr>
        <w:ind w:left="708" w:firstLine="708"/>
        <w:jc w:val="both"/>
        <w:rPr>
          <w:bCs/>
        </w:rPr>
      </w:pPr>
    </w:p>
    <w:bookmarkEnd w:id="2"/>
    <w:p w14:paraId="6C4CA723" w14:textId="77777777" w:rsidR="0097507F" w:rsidRPr="00263DDD" w:rsidRDefault="0097507F" w:rsidP="0097507F">
      <w:pPr>
        <w:jc w:val="both"/>
        <w:rPr>
          <w:b/>
        </w:rPr>
      </w:pPr>
    </w:p>
    <w:p w14:paraId="53B4DA55" w14:textId="77777777" w:rsidR="0097507F" w:rsidRPr="003F022B" w:rsidRDefault="003F022B" w:rsidP="00E24FEE">
      <w:pPr>
        <w:jc w:val="both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</w:p>
    <w:p w14:paraId="5C28C904" w14:textId="77777777" w:rsidR="00BC1E3A" w:rsidRDefault="00BC1E3A" w:rsidP="0097507F"/>
    <w:p w14:paraId="24965C9B" w14:textId="77777777" w:rsidR="00C169DC" w:rsidRDefault="00C169DC" w:rsidP="0097507F"/>
    <w:p w14:paraId="451C6E93" w14:textId="77777777" w:rsidR="00C169DC" w:rsidRDefault="00C169DC" w:rsidP="0097507F"/>
    <w:p w14:paraId="23B48C00" w14:textId="16C95707" w:rsidR="0097507F" w:rsidRPr="00263DDD" w:rsidRDefault="0097507F" w:rsidP="0097507F">
      <w:r w:rsidRPr="00263DDD">
        <w:t>KLASA:</w:t>
      </w:r>
    </w:p>
    <w:p w14:paraId="606BA4E7" w14:textId="77777777" w:rsidR="0097507F" w:rsidRPr="00263DDD" w:rsidRDefault="0097507F" w:rsidP="0097507F">
      <w:r w:rsidRPr="00263DDD">
        <w:t>URBROJ:</w:t>
      </w:r>
    </w:p>
    <w:p w14:paraId="1CA22802" w14:textId="77777777" w:rsidR="0097507F" w:rsidRPr="00263DDD" w:rsidRDefault="0097507F" w:rsidP="0097507F"/>
    <w:p w14:paraId="13E59265" w14:textId="77777777" w:rsidR="0097507F" w:rsidRPr="00263DDD" w:rsidRDefault="0097507F" w:rsidP="0097507F">
      <w:r w:rsidRPr="00263DDD">
        <w:t>Zagreb, ____________ 2024. godine</w:t>
      </w:r>
    </w:p>
    <w:p w14:paraId="692DF2F9" w14:textId="77777777" w:rsidR="0097507F" w:rsidRDefault="0097507F" w:rsidP="0097507F"/>
    <w:p w14:paraId="22CF22D6" w14:textId="77777777" w:rsidR="00B87DBE" w:rsidRDefault="00B87DBE" w:rsidP="0097507F"/>
    <w:p w14:paraId="7F782030" w14:textId="77777777" w:rsidR="00B87DBE" w:rsidRDefault="00B87DBE" w:rsidP="0097507F"/>
    <w:p w14:paraId="3E77D756" w14:textId="77777777" w:rsidR="00B87DBE" w:rsidRPr="00263DDD" w:rsidRDefault="00B87DBE" w:rsidP="0097507F"/>
    <w:p w14:paraId="168CC880" w14:textId="77777777" w:rsidR="0097507F" w:rsidRPr="00263DDD" w:rsidRDefault="0097507F" w:rsidP="00E24FEE">
      <w:pPr>
        <w:ind w:left="4956" w:firstLine="708"/>
        <w:jc w:val="center"/>
        <w:rPr>
          <w:b/>
        </w:rPr>
      </w:pPr>
      <w:r w:rsidRPr="00263DDD">
        <w:rPr>
          <w:b/>
        </w:rPr>
        <w:t xml:space="preserve">PREDSJEDNIK </w:t>
      </w:r>
    </w:p>
    <w:p w14:paraId="31F48A34" w14:textId="77777777" w:rsidR="0097507F" w:rsidRDefault="0097507F" w:rsidP="0097507F">
      <w:pPr>
        <w:rPr>
          <w:b/>
        </w:rPr>
      </w:pPr>
    </w:p>
    <w:p w14:paraId="0D66AD1C" w14:textId="77777777" w:rsidR="004A5C13" w:rsidRPr="00263DDD" w:rsidRDefault="004A5C13" w:rsidP="0097507F">
      <w:pPr>
        <w:rPr>
          <w:b/>
        </w:rPr>
      </w:pPr>
    </w:p>
    <w:p w14:paraId="370BB1D6" w14:textId="77777777" w:rsidR="0097507F" w:rsidRDefault="0097507F" w:rsidP="0097507F">
      <w:pPr>
        <w:rPr>
          <w:b/>
        </w:rPr>
      </w:pPr>
      <w:r w:rsidRPr="00263DDD">
        <w:rPr>
          <w:b/>
        </w:rPr>
        <w:t xml:space="preserve">      </w:t>
      </w:r>
      <w:r w:rsidRPr="00263DDD">
        <w:rPr>
          <w:b/>
        </w:rPr>
        <w:tab/>
      </w:r>
      <w:r w:rsidRPr="00263DDD">
        <w:rPr>
          <w:b/>
        </w:rPr>
        <w:tab/>
      </w:r>
      <w:r w:rsidRPr="00263DDD">
        <w:rPr>
          <w:b/>
        </w:rPr>
        <w:tab/>
      </w:r>
      <w:r w:rsidRPr="00263DDD">
        <w:rPr>
          <w:b/>
        </w:rPr>
        <w:tab/>
      </w:r>
      <w:r w:rsidRPr="00263DDD">
        <w:rPr>
          <w:b/>
        </w:rPr>
        <w:tab/>
      </w:r>
      <w:r w:rsidRPr="00263DDD">
        <w:rPr>
          <w:b/>
        </w:rPr>
        <w:tab/>
      </w:r>
      <w:r w:rsidRPr="00263DDD">
        <w:rPr>
          <w:b/>
        </w:rPr>
        <w:tab/>
      </w:r>
      <w:r w:rsidRPr="00263DDD">
        <w:rPr>
          <w:b/>
        </w:rPr>
        <w:tab/>
      </w:r>
      <w:r w:rsidR="00BC1E3A">
        <w:rPr>
          <w:b/>
        </w:rPr>
        <w:t xml:space="preserve">       </w:t>
      </w:r>
      <w:r w:rsidRPr="00263DDD">
        <w:rPr>
          <w:b/>
        </w:rPr>
        <w:t xml:space="preserve">mr. sc. Andrej Plenković </w:t>
      </w:r>
    </w:p>
    <w:p w14:paraId="56B22E17" w14:textId="77777777" w:rsidR="00581123" w:rsidRDefault="00581123" w:rsidP="0097507F">
      <w:pPr>
        <w:rPr>
          <w:b/>
        </w:rPr>
      </w:pPr>
    </w:p>
    <w:p w14:paraId="0C9F0FE9" w14:textId="77777777" w:rsidR="006A53D2" w:rsidRDefault="006A53D2" w:rsidP="0097507F">
      <w:pPr>
        <w:rPr>
          <w:b/>
        </w:rPr>
      </w:pPr>
    </w:p>
    <w:p w14:paraId="4D32122B" w14:textId="77777777" w:rsidR="00581123" w:rsidRDefault="00581123" w:rsidP="0097507F">
      <w:pPr>
        <w:rPr>
          <w:b/>
        </w:rPr>
      </w:pPr>
    </w:p>
    <w:p w14:paraId="14EFE220" w14:textId="77777777" w:rsidR="006C65E9" w:rsidRDefault="006C65E9" w:rsidP="0097507F">
      <w:pPr>
        <w:jc w:val="both"/>
        <w:rPr>
          <w:bCs/>
        </w:rPr>
      </w:pPr>
    </w:p>
    <w:p w14:paraId="51C2ABAF" w14:textId="77777777" w:rsidR="006C65E9" w:rsidRDefault="006C65E9" w:rsidP="0097507F">
      <w:pPr>
        <w:jc w:val="both"/>
        <w:rPr>
          <w:bCs/>
        </w:rPr>
      </w:pPr>
    </w:p>
    <w:p w14:paraId="34412C0C" w14:textId="77777777" w:rsidR="006C65E9" w:rsidRDefault="006C65E9" w:rsidP="0097507F">
      <w:pPr>
        <w:jc w:val="both"/>
        <w:rPr>
          <w:bCs/>
        </w:rPr>
      </w:pPr>
    </w:p>
    <w:p w14:paraId="04A39BA4" w14:textId="4CEA7039" w:rsidR="0097507F" w:rsidRPr="00263DDD" w:rsidRDefault="007C28EC" w:rsidP="007A081C">
      <w:pPr>
        <w:spacing w:after="160" w:line="259" w:lineRule="auto"/>
        <w:jc w:val="center"/>
        <w:rPr>
          <w:b/>
        </w:rPr>
      </w:pPr>
      <w:r>
        <w:rPr>
          <w:bCs/>
        </w:rPr>
        <w:br w:type="page"/>
      </w:r>
      <w:r w:rsidR="0097507F" w:rsidRPr="00263DDD">
        <w:rPr>
          <w:b/>
        </w:rPr>
        <w:lastRenderedPageBreak/>
        <w:t>OBRAZLOŽENJE</w:t>
      </w:r>
    </w:p>
    <w:p w14:paraId="13969C47" w14:textId="77777777" w:rsidR="0097507F" w:rsidRPr="00263DDD" w:rsidRDefault="0097507F" w:rsidP="0097507F">
      <w:pPr>
        <w:jc w:val="center"/>
        <w:rPr>
          <w:b/>
        </w:rPr>
      </w:pPr>
    </w:p>
    <w:p w14:paraId="13F5FE07" w14:textId="624F5350" w:rsidR="0097507F" w:rsidRPr="00F94DA7" w:rsidRDefault="00BB732E" w:rsidP="0097507F">
      <w:pPr>
        <w:pStyle w:val="Default"/>
        <w:ind w:right="4"/>
        <w:jc w:val="both"/>
      </w:pPr>
      <w:r w:rsidRPr="00BB732E">
        <w:t>Na temelju članka 48. stavka 2. Zakona o proračunu (</w:t>
      </w:r>
      <w:r w:rsidR="007C28EC">
        <w:t>„</w:t>
      </w:r>
      <w:r w:rsidRPr="00BB732E">
        <w:t>Narodne novine</w:t>
      </w:r>
      <w:r w:rsidR="007C28EC">
        <w:t>“</w:t>
      </w:r>
      <w:r w:rsidRPr="00BB732E">
        <w:t xml:space="preserve">, broj 144/21) proračunski korisnici Državnog proračuna mogu preuzeti obveze iz ugovora koji zahtijevaju plaćanje u sljedećim godinama, neovisno o izvoru financiranja, isključivo na temelju odluke Vlade koju predlaže nadležni ministar, a </w:t>
      </w:r>
      <w:r w:rsidR="00096513">
        <w:t>z</w:t>
      </w:r>
      <w:r w:rsidRPr="00BB732E">
        <w:t>a koju je prethodnu suglasnost dalo Ministarstvo financija</w:t>
      </w:r>
      <w:r w:rsidR="0097507F" w:rsidRPr="00F94DA7">
        <w:t xml:space="preserve">. </w:t>
      </w:r>
    </w:p>
    <w:p w14:paraId="5F1F08CA" w14:textId="77777777" w:rsidR="0097507F" w:rsidRPr="00F94DA7" w:rsidRDefault="0097507F" w:rsidP="0097507F">
      <w:pPr>
        <w:pStyle w:val="Default"/>
        <w:ind w:right="4"/>
        <w:jc w:val="both"/>
      </w:pPr>
    </w:p>
    <w:p w14:paraId="44A11AB4" w14:textId="14E062CF" w:rsidR="00BB732E" w:rsidRDefault="00BB732E" w:rsidP="0097507F">
      <w:pPr>
        <w:pStyle w:val="Default"/>
        <w:ind w:right="4"/>
        <w:jc w:val="both"/>
      </w:pPr>
      <w:r w:rsidRPr="00BB732E">
        <w:t>Člankom 23. stavkom 7. Zakona o izvršavanju Državnog proračuna Republike Hrvatske za 2024. godinu (</w:t>
      </w:r>
      <w:r w:rsidR="007C28EC">
        <w:t>„</w:t>
      </w:r>
      <w:r w:rsidRPr="00BB732E">
        <w:t>Narodne novine</w:t>
      </w:r>
      <w:r w:rsidR="007C28EC">
        <w:t>“</w:t>
      </w:r>
      <w:r w:rsidRPr="00BB732E">
        <w:t>, broj 149/23</w:t>
      </w:r>
      <w:r w:rsidR="00AD4FB4">
        <w:t xml:space="preserve"> i 125/24</w:t>
      </w:r>
      <w:r w:rsidRPr="00BB732E">
        <w:t xml:space="preserve">) propisano je da ako se radi o ugovorima za provedbu projekata sufinanciranih iz sredstava Europske unije i sredstava pomoći inozemnih vlada, korisnici obveze po ugovorima koji zahtijevaju plaćanje u sljedećim godinama mogu preuzeti uz odluku Vlade ako ukupna vrijednost sufinanciranja iz </w:t>
      </w:r>
      <w:r w:rsidR="004E6750">
        <w:t>D</w:t>
      </w:r>
      <w:r w:rsidRPr="00BB732E">
        <w:t xml:space="preserve">ržavnog proračuna, ne uključujući izvor financiranja 12 Sredstva učešća za pomoći, po ugovoru prelazi iznos od 1.500.000,00 </w:t>
      </w:r>
      <w:r w:rsidR="00E76E61">
        <w:t>EUR</w:t>
      </w:r>
      <w:r>
        <w:t>.</w:t>
      </w:r>
    </w:p>
    <w:p w14:paraId="738A45C0" w14:textId="77777777" w:rsidR="00D1267C" w:rsidRDefault="00D1267C" w:rsidP="0097507F">
      <w:pPr>
        <w:pStyle w:val="Default"/>
        <w:ind w:right="4"/>
        <w:jc w:val="both"/>
      </w:pPr>
    </w:p>
    <w:p w14:paraId="1AA2D934" w14:textId="6E4F6ABF" w:rsidR="00D1267C" w:rsidRDefault="00096513" w:rsidP="0097507F">
      <w:pPr>
        <w:pStyle w:val="Default"/>
        <w:ind w:right="4"/>
        <w:jc w:val="both"/>
      </w:pPr>
      <w:r>
        <w:t xml:space="preserve">Vlada </w:t>
      </w:r>
      <w:r w:rsidR="00D1267C" w:rsidRPr="00D1267C">
        <w:t>Republik</w:t>
      </w:r>
      <w:r>
        <w:t>e</w:t>
      </w:r>
      <w:r w:rsidR="00D1267C" w:rsidRPr="00D1267C">
        <w:t xml:space="preserve"> Hrvatsk</w:t>
      </w:r>
      <w:r>
        <w:t>e</w:t>
      </w:r>
      <w:r w:rsidR="00D1267C" w:rsidRPr="00D1267C">
        <w:t xml:space="preserve"> je u lipnju 2023. godine donijela Plan gospodarenja otpadom </w:t>
      </w:r>
      <w:r>
        <w:t xml:space="preserve">Republike Hrvatske </w:t>
      </w:r>
      <w:r w:rsidR="00D1267C" w:rsidRPr="00D1267C">
        <w:t>za razdoblje 2023. do 2028. godine (</w:t>
      </w:r>
      <w:r w:rsidR="007C28EC">
        <w:t>„</w:t>
      </w:r>
      <w:r w:rsidR="00D1267C" w:rsidRPr="00D1267C">
        <w:t>Narodne novine</w:t>
      </w:r>
      <w:r w:rsidR="007C28EC">
        <w:t>“</w:t>
      </w:r>
      <w:r w:rsidR="00D1267C" w:rsidRPr="00D1267C">
        <w:t>, broj 84/23), koji sadrži niz mjera koje doprinose ciljevima koje je Republika Hrvatska dužna ispuniti sukladno EU direktivama i Ugovoru o pristupanju. Posebno važnim</w:t>
      </w:r>
      <w:r w:rsidR="004E6750">
        <w:t>a</w:t>
      </w:r>
      <w:r w:rsidR="00D1267C" w:rsidRPr="00D1267C">
        <w:t xml:space="preserve"> smatraju se mjere Europskog zelenog plana koje podržavaju ispunjavanje postojećih nacionalnih obveza koje proizlaze iz direktiva EU-a o otpadu, a posebice ciljeva do 2035. godine određenih Direktivom 2008/98/EZ – povećanje odvajanja i recikliranja otpada na 65% i smanjenje odlaganja otpada na 10%.</w:t>
      </w:r>
    </w:p>
    <w:p w14:paraId="74735C81" w14:textId="77777777" w:rsidR="00BB732E" w:rsidRDefault="00BB732E" w:rsidP="0097507F">
      <w:pPr>
        <w:pStyle w:val="Default"/>
        <w:ind w:right="4"/>
        <w:jc w:val="both"/>
      </w:pPr>
    </w:p>
    <w:p w14:paraId="08B0BF0C" w14:textId="196CCAD6" w:rsidR="00BB732E" w:rsidRDefault="00BB732E" w:rsidP="0097507F">
      <w:pPr>
        <w:pStyle w:val="Default"/>
        <w:ind w:right="4"/>
        <w:jc w:val="both"/>
      </w:pPr>
      <w:r w:rsidRPr="00BB732E">
        <w:t xml:space="preserve">U okviru OPKK 2014.-2020. sklopljeni su Ugovori o dodjeli bespovratnih sredstava za sufinanciranje izgradnje CGO Babina gora, Lećevica, Lučino razdolje i Piškornica. </w:t>
      </w:r>
      <w:r w:rsidR="00FC48ED" w:rsidRPr="00FC48ED">
        <w:t>koji doprinose ispunjenju mjera iz Plana gospodarenja otpadom Republike Hrvatske za razdoblje 2023. do 2028. godine (</w:t>
      </w:r>
      <w:r w:rsidR="007C28EC">
        <w:t>„</w:t>
      </w:r>
      <w:r w:rsidR="00FC48ED" w:rsidRPr="00FC48ED">
        <w:t>Narodne novine</w:t>
      </w:r>
      <w:r w:rsidR="007C28EC">
        <w:t>“</w:t>
      </w:r>
      <w:r w:rsidR="00FC48ED" w:rsidRPr="00FC48ED">
        <w:t>, broj 84/23)</w:t>
      </w:r>
      <w:r w:rsidR="00FC48ED">
        <w:t xml:space="preserve">. </w:t>
      </w:r>
      <w:r w:rsidRPr="00BB732E">
        <w:t xml:space="preserve">Tijekom provedbe </w:t>
      </w:r>
      <w:r w:rsidR="00096513">
        <w:t xml:space="preserve">ovih </w:t>
      </w:r>
      <w:r w:rsidRPr="00BB732E">
        <w:t xml:space="preserve">projekata došlo je do kašnjenja u provedbi zbog poteškoća u provođenju postupaka javne nabave (ponavljanje postupaka zbog žalbi izjavljenih Državnoj komisiji za kontrolu postupaka javne nabave i porasta cijena na građevinskom tržištu uslijed pandemije COVID-19 i krize uzrokovane ratom u Ukrajini). Rast cijena radova i građevinskih materijala uzrokovao je rast prihvatljivih troškova za projekte CGO-a, jer su ugovoreni iznosi za radove na izgradnji CGO-a znatno veći od iznosa odobrenih u Ugovorima o dodjeli bespovratnih sredstava. S obzirom da izgradnja 4 navedena projekta CGO-a nije završena do kraja razdoblja prihvatljivosti izdataka za OPKK 2014.-2020., odnosno do 31. prosinca 2023. godine, ovi projekti planiraju se nastaviti sufinancirati kroz PKK 2021.-2027., a za dijelove investicije (pretovarne stanice) osigurana </w:t>
      </w:r>
      <w:r w:rsidR="004E6750" w:rsidRPr="00BB732E">
        <w:t xml:space="preserve">su </w:t>
      </w:r>
      <w:r w:rsidRPr="00BB732E">
        <w:t>sredstva i iz Nacionalnog plana oporavka i otpornosti 2021.-2026. (u daljnjem tekstu: NPOO 2021.-2026.).</w:t>
      </w:r>
      <w:r w:rsidR="00DB0AC5">
        <w:t xml:space="preserve"> Za sva četiri projekta radovi </w:t>
      </w:r>
      <w:r w:rsidR="001005C7">
        <w:t xml:space="preserve">na izgradnji CGO-a </w:t>
      </w:r>
      <w:r w:rsidR="00DB0AC5">
        <w:t>su u tijeku</w:t>
      </w:r>
      <w:r w:rsidR="001005C7">
        <w:t>, a</w:t>
      </w:r>
      <w:r w:rsidR="001B2BCB">
        <w:t xml:space="preserve"> </w:t>
      </w:r>
      <w:r w:rsidR="001005C7">
        <w:t xml:space="preserve">sukladno </w:t>
      </w:r>
      <w:r w:rsidR="00501649">
        <w:t xml:space="preserve">Planu </w:t>
      </w:r>
      <w:r w:rsidR="00501649" w:rsidRPr="00FC48ED">
        <w:t>gospodarenja otpadom Republike Hrvatske za razdoblje 2023. do 2028. godine (</w:t>
      </w:r>
      <w:r w:rsidR="00501649">
        <w:t>„</w:t>
      </w:r>
      <w:r w:rsidR="00501649" w:rsidRPr="00FC48ED">
        <w:t>Narodne novine</w:t>
      </w:r>
      <w:r w:rsidR="00501649">
        <w:t>“</w:t>
      </w:r>
      <w:r w:rsidR="00501649" w:rsidRPr="00FC48ED">
        <w:t>, broj 84/23)</w:t>
      </w:r>
      <w:r w:rsidR="001B2BCB">
        <w:t xml:space="preserve"> očekivani rok završetka radova za CGO-e Babina gora i Lučino razdolje je 2026. godin</w:t>
      </w:r>
      <w:r w:rsidR="001005C7">
        <w:t>a</w:t>
      </w:r>
      <w:r w:rsidR="001B2BCB">
        <w:t xml:space="preserve">, </w:t>
      </w:r>
      <w:r w:rsidR="00B42266">
        <w:t xml:space="preserve">a </w:t>
      </w:r>
      <w:r w:rsidR="001B2BCB">
        <w:t>za CGO</w:t>
      </w:r>
      <w:r w:rsidR="00501649">
        <w:t>-e</w:t>
      </w:r>
      <w:r w:rsidR="001B2BCB">
        <w:t xml:space="preserve"> Lećevica </w:t>
      </w:r>
      <w:r w:rsidR="00501649">
        <w:t xml:space="preserve">i Piškornica </w:t>
      </w:r>
      <w:r w:rsidR="001005C7">
        <w:t>202</w:t>
      </w:r>
      <w:r w:rsidR="00501649">
        <w:t>8</w:t>
      </w:r>
      <w:r w:rsidR="001005C7">
        <w:t>. godina.</w:t>
      </w:r>
    </w:p>
    <w:p w14:paraId="7F9DDE56" w14:textId="77777777" w:rsidR="00BB732E" w:rsidRDefault="00BB732E" w:rsidP="0097507F">
      <w:pPr>
        <w:pStyle w:val="Default"/>
        <w:ind w:right="4"/>
        <w:jc w:val="both"/>
      </w:pPr>
    </w:p>
    <w:p w14:paraId="6667852C" w14:textId="77777777" w:rsidR="0097507F" w:rsidRDefault="00D1267C" w:rsidP="0097507F">
      <w:pPr>
        <w:pStyle w:val="Default"/>
        <w:ind w:right="4"/>
        <w:jc w:val="both"/>
      </w:pPr>
      <w:r>
        <w:t xml:space="preserve">Ugovori o </w:t>
      </w:r>
      <w:r w:rsidRPr="00D1267C">
        <w:t>dodjeli bespovratnih sredstava u okviru PKK 2021.-2027. još nisu potpisani jer</w:t>
      </w:r>
      <w:r>
        <w:t xml:space="preserve"> je projektna dokumentacija za sva 4 projekta </w:t>
      </w:r>
      <w:r w:rsidR="00096513">
        <w:t xml:space="preserve">CGO-a </w:t>
      </w:r>
      <w:r>
        <w:t>trenutno na pregledu u IQR-u (</w:t>
      </w:r>
      <w:r w:rsidRPr="00D1267C">
        <w:t>Nezavisna kontrola kvalitete)</w:t>
      </w:r>
      <w:r w:rsidR="00096513">
        <w:t xml:space="preserve"> i JASPERS-u</w:t>
      </w:r>
      <w:r>
        <w:t xml:space="preserve">, stoga je Odlukom Vlade </w:t>
      </w:r>
      <w:r w:rsidRPr="00D1267C">
        <w:t>o koordinaciji aktivnosti vezanih uz izgradnju četiri centra za gospodarenje otpadom</w:t>
      </w:r>
      <w:r>
        <w:t xml:space="preserve"> od 4. travnja 2024., </w:t>
      </w:r>
      <w:r w:rsidRPr="00D1267C">
        <w:t>KLASA: 022-03/24-04/164, URBROJ: 50301-05/27-24-1</w:t>
      </w:r>
      <w:r>
        <w:t xml:space="preserve">, osigurano sufinanciranje projekata u 2024. godini </w:t>
      </w:r>
      <w:r w:rsidR="004E6750">
        <w:t>kroz Državni proračun, putem</w:t>
      </w:r>
      <w:r>
        <w:t xml:space="preserve"> Ugovor</w:t>
      </w:r>
      <w:r w:rsidR="004E6750">
        <w:t>a</w:t>
      </w:r>
      <w:r>
        <w:t xml:space="preserve"> o privremenom sufinanciranju.</w:t>
      </w:r>
      <w:r w:rsidR="00FB1D51">
        <w:t xml:space="preserve"> Sredstva za financiranje </w:t>
      </w:r>
      <w:r w:rsidR="00FB1D51">
        <w:lastRenderedPageBreak/>
        <w:t xml:space="preserve">kroz Ugovore o privremenom sufinanciranju planirana </w:t>
      </w:r>
      <w:r w:rsidR="00571C86">
        <w:t>su</w:t>
      </w:r>
      <w:r w:rsidR="00FB1D51">
        <w:t xml:space="preserve"> za 2024. godinu na</w:t>
      </w:r>
      <w:r w:rsidR="00FB1D51" w:rsidRPr="00FB1D51">
        <w:t xml:space="preserve"> Razdjelu 078, Glavi 07805 Ministarstvo zaštite okoliša i zelene tranzicije, aktivnosti K905056</w:t>
      </w:r>
      <w:r w:rsidR="00FB1D51">
        <w:t xml:space="preserve"> </w:t>
      </w:r>
      <w:r w:rsidR="00FB1D51" w:rsidRPr="00E76E61">
        <w:t>Program Konkurentnost i Kohezija 2021. – 2027</w:t>
      </w:r>
      <w:r w:rsidR="00FB1D51">
        <w:t>., na izvoru 43.</w:t>
      </w:r>
    </w:p>
    <w:p w14:paraId="2C6CD39C" w14:textId="77777777" w:rsidR="0036068C" w:rsidRDefault="0036068C" w:rsidP="0097507F">
      <w:pPr>
        <w:pStyle w:val="Default"/>
        <w:ind w:right="4"/>
        <w:jc w:val="both"/>
      </w:pPr>
    </w:p>
    <w:p w14:paraId="65FECD5A" w14:textId="5071A321" w:rsidR="00685763" w:rsidRDefault="00685763" w:rsidP="00685763">
      <w:pPr>
        <w:pStyle w:val="Default"/>
        <w:ind w:right="4"/>
        <w:jc w:val="both"/>
      </w:pPr>
      <w:r>
        <w:t>Prema procjenama</w:t>
      </w:r>
      <w:r w:rsidR="00195499">
        <w:t xml:space="preserve">, nakon </w:t>
      </w:r>
      <w:r w:rsidR="00CC38FF">
        <w:t xml:space="preserve">završetka isplata </w:t>
      </w:r>
      <w:r w:rsidR="00195499">
        <w:t>sredstava po Ugovorima o privremenom sufinanciranju,</w:t>
      </w:r>
      <w:r>
        <w:t xml:space="preserve"> za projekte izgradnje 4 CGO-a kroz PKK 2021.-2027. potrebno </w:t>
      </w:r>
      <w:r w:rsidR="003350AF">
        <w:t xml:space="preserve">je </w:t>
      </w:r>
      <w:r>
        <w:t xml:space="preserve">osigurati ukupno </w:t>
      </w:r>
      <w:r w:rsidR="007023FC" w:rsidRPr="007023FC">
        <w:t>293.977.202</w:t>
      </w:r>
      <w:r w:rsidR="008014F7">
        <w:t>,00</w:t>
      </w:r>
      <w:r>
        <w:t xml:space="preserve"> EUR</w:t>
      </w:r>
      <w:r w:rsidR="00E75928">
        <w:t xml:space="preserve"> za prihvatljive troškove projekata</w:t>
      </w:r>
      <w:r>
        <w:t>.</w:t>
      </w:r>
      <w:r w:rsidRPr="00685763">
        <w:t xml:space="preserve"> </w:t>
      </w:r>
      <w:r>
        <w:t xml:space="preserve">S obzirom da su sredstva dostupna iz </w:t>
      </w:r>
      <w:r w:rsidRPr="00D1267C">
        <w:t xml:space="preserve">PKK 2021.-2027. </w:t>
      </w:r>
      <w:r>
        <w:t xml:space="preserve">ograničena, odnosno za svaki od 4 projekta izgradnje CGO-a dostupno je </w:t>
      </w:r>
      <w:r w:rsidRPr="00E76E61">
        <w:t>14.389.924</w:t>
      </w:r>
      <w:r w:rsidR="008014F7">
        <w:t>,00</w:t>
      </w:r>
      <w:r>
        <w:t xml:space="preserve"> EUR iz Europskog fonda za regionalni razvoj, procjenjuje se da je u razdoblju 2025.-2028. </w:t>
      </w:r>
      <w:r w:rsidRPr="00805D6B">
        <w:t xml:space="preserve">u Državnom proračunu i u Financijskom planu Fonda za zaštitu okoliša i energetsku učinkovitost </w:t>
      </w:r>
      <w:r w:rsidR="00A271B9">
        <w:t xml:space="preserve">(u daljnjem tekstu: </w:t>
      </w:r>
      <w:r w:rsidR="004A2B5E">
        <w:t>Fond</w:t>
      </w:r>
      <w:r w:rsidR="00A271B9">
        <w:t xml:space="preserve">) </w:t>
      </w:r>
      <w:r w:rsidRPr="00805D6B">
        <w:t xml:space="preserve">potrebno osigurati </w:t>
      </w:r>
      <w:r w:rsidR="007023FC" w:rsidRPr="007023FC">
        <w:t>96.160.463</w:t>
      </w:r>
      <w:r w:rsidR="008014F7">
        <w:t>,00</w:t>
      </w:r>
      <w:r w:rsidRPr="00805D6B">
        <w:t xml:space="preserve"> EUR</w:t>
      </w:r>
      <w:r>
        <w:t xml:space="preserve">. Okvirna raspodjela sredstava </w:t>
      </w:r>
      <w:r w:rsidR="00096513">
        <w:t xml:space="preserve">po izvorima sufinanciranja </w:t>
      </w:r>
      <w:r>
        <w:t>prikazana je u tablici u nastavku:</w:t>
      </w:r>
    </w:p>
    <w:p w14:paraId="7B18F30C" w14:textId="77777777" w:rsidR="00811481" w:rsidRDefault="00811481" w:rsidP="0097507F">
      <w:pPr>
        <w:pStyle w:val="Default"/>
        <w:ind w:right="4"/>
        <w:jc w:val="both"/>
      </w:pPr>
    </w:p>
    <w:tbl>
      <w:tblPr>
        <w:tblStyle w:val="Reetkatablice"/>
        <w:tblW w:w="988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720"/>
        <w:gridCol w:w="1600"/>
        <w:gridCol w:w="1600"/>
        <w:gridCol w:w="1600"/>
        <w:gridCol w:w="1662"/>
      </w:tblGrid>
      <w:tr w:rsidR="008D58D7" w:rsidRPr="00811481" w14:paraId="7438CE8B" w14:textId="77777777" w:rsidTr="00630CF2">
        <w:trPr>
          <w:trHeight w:val="985"/>
        </w:trPr>
        <w:tc>
          <w:tcPr>
            <w:tcW w:w="1702" w:type="dxa"/>
            <w:vAlign w:val="center"/>
            <w:hideMark/>
          </w:tcPr>
          <w:p w14:paraId="07310F25" w14:textId="77777777" w:rsidR="00811481" w:rsidRPr="00F25A44" w:rsidRDefault="00811481" w:rsidP="00F25A44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  <w:sz w:val="22"/>
                <w:szCs w:val="22"/>
              </w:rPr>
              <w:t>CGO</w:t>
            </w:r>
          </w:p>
        </w:tc>
        <w:tc>
          <w:tcPr>
            <w:tcW w:w="1720" w:type="dxa"/>
            <w:vAlign w:val="center"/>
            <w:hideMark/>
          </w:tcPr>
          <w:p w14:paraId="001EB49E" w14:textId="77777777" w:rsidR="00811481" w:rsidRPr="00F25A44" w:rsidRDefault="00811481" w:rsidP="00F25A44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  <w:sz w:val="22"/>
                <w:szCs w:val="22"/>
              </w:rPr>
              <w:t xml:space="preserve">PKK </w:t>
            </w:r>
            <w:r w:rsidR="00195499">
              <w:rPr>
                <w:b/>
                <w:bCs/>
                <w:sz w:val="22"/>
                <w:szCs w:val="22"/>
              </w:rPr>
              <w:t>preostalo za sufinanciranje</w:t>
            </w:r>
          </w:p>
        </w:tc>
        <w:tc>
          <w:tcPr>
            <w:tcW w:w="1600" w:type="dxa"/>
            <w:vAlign w:val="center"/>
            <w:hideMark/>
          </w:tcPr>
          <w:p w14:paraId="3503D163" w14:textId="77777777" w:rsidR="00811481" w:rsidRPr="00F25A44" w:rsidRDefault="00811481" w:rsidP="00F25A44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  <w:sz w:val="22"/>
                <w:szCs w:val="22"/>
              </w:rPr>
              <w:t>EU</w:t>
            </w:r>
          </w:p>
          <w:p w14:paraId="6E84A173" w14:textId="77777777" w:rsidR="00811481" w:rsidRPr="00F25A44" w:rsidRDefault="00811481" w:rsidP="00F25A44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  <w:hideMark/>
          </w:tcPr>
          <w:p w14:paraId="7132A2E0" w14:textId="5214B3CD" w:rsidR="00195499" w:rsidRDefault="004A2B5E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Ministarstvo </w:t>
            </w:r>
          </w:p>
          <w:p w14:paraId="3E9F4D02" w14:textId="77777777" w:rsidR="00811481" w:rsidRPr="00F25A44" w:rsidRDefault="00811481" w:rsidP="00F25A44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  <w:hideMark/>
          </w:tcPr>
          <w:p w14:paraId="005A1348" w14:textId="7F4291E4" w:rsidR="00811481" w:rsidRDefault="004A2B5E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Fond</w:t>
            </w:r>
          </w:p>
          <w:p w14:paraId="1AA2648F" w14:textId="77777777" w:rsidR="00811481" w:rsidRPr="00F25A44" w:rsidRDefault="00811481" w:rsidP="00F10A6E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  <w:hideMark/>
          </w:tcPr>
          <w:p w14:paraId="62F88CA7" w14:textId="77777777" w:rsidR="00195499" w:rsidRPr="00F25A44" w:rsidRDefault="00811481" w:rsidP="00F10A6E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  <w:sz w:val="22"/>
                <w:szCs w:val="22"/>
              </w:rPr>
              <w:t>Korisnik</w:t>
            </w:r>
          </w:p>
        </w:tc>
      </w:tr>
      <w:tr w:rsidR="008D58D7" w:rsidRPr="00811481" w14:paraId="3BD01B1C" w14:textId="77777777" w:rsidTr="00630CF2">
        <w:trPr>
          <w:trHeight w:val="420"/>
        </w:trPr>
        <w:tc>
          <w:tcPr>
            <w:tcW w:w="1702" w:type="dxa"/>
            <w:vAlign w:val="center"/>
            <w:hideMark/>
          </w:tcPr>
          <w:p w14:paraId="4258A1C8" w14:textId="77777777" w:rsidR="00195499" w:rsidRPr="00F25A44" w:rsidRDefault="00195499" w:rsidP="00F25A44">
            <w:pPr>
              <w:pStyle w:val="Default"/>
              <w:ind w:right="4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Piškornica</w:t>
            </w:r>
          </w:p>
        </w:tc>
        <w:tc>
          <w:tcPr>
            <w:tcW w:w="1720" w:type="dxa"/>
            <w:vAlign w:val="center"/>
            <w:hideMark/>
          </w:tcPr>
          <w:p w14:paraId="5D435616" w14:textId="58582245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91.563.233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7B4A816D" w14:textId="00A26866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14.389.924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745420F7" w14:textId="0980AAB2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31.719.412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5A8192FF" w14:textId="60206C7C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31.719.412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62" w:type="dxa"/>
            <w:vAlign w:val="center"/>
            <w:hideMark/>
          </w:tcPr>
          <w:p w14:paraId="37F136CD" w14:textId="34A64EFC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13.734.485</w:t>
            </w:r>
            <w:r w:rsidR="008D58D7">
              <w:rPr>
                <w:sz w:val="22"/>
                <w:szCs w:val="22"/>
              </w:rPr>
              <w:t>,00</w:t>
            </w:r>
          </w:p>
        </w:tc>
      </w:tr>
      <w:tr w:rsidR="008D58D7" w:rsidRPr="00811481" w14:paraId="7E98AABA" w14:textId="77777777" w:rsidTr="00630CF2">
        <w:trPr>
          <w:trHeight w:val="420"/>
        </w:trPr>
        <w:tc>
          <w:tcPr>
            <w:tcW w:w="1702" w:type="dxa"/>
            <w:vAlign w:val="center"/>
            <w:hideMark/>
          </w:tcPr>
          <w:p w14:paraId="39ACC356" w14:textId="77777777" w:rsidR="00195499" w:rsidRPr="00F25A44" w:rsidRDefault="00195499" w:rsidP="00F25A44">
            <w:pPr>
              <w:pStyle w:val="Default"/>
              <w:ind w:right="4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Lećevica</w:t>
            </w:r>
          </w:p>
        </w:tc>
        <w:tc>
          <w:tcPr>
            <w:tcW w:w="1720" w:type="dxa"/>
            <w:vAlign w:val="center"/>
            <w:hideMark/>
          </w:tcPr>
          <w:p w14:paraId="33CE7CA1" w14:textId="50316637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93.578.043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139003C8" w14:textId="21493748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14.389.924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16EDDA96" w14:textId="77512AD2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32.575.706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3DE7788B" w14:textId="31C5BD92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32.575.706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62" w:type="dxa"/>
            <w:vAlign w:val="center"/>
            <w:hideMark/>
          </w:tcPr>
          <w:p w14:paraId="74085458" w14:textId="4EA74B52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14.036.70</w:t>
            </w:r>
            <w:r w:rsidR="008D58D7">
              <w:rPr>
                <w:sz w:val="22"/>
                <w:szCs w:val="22"/>
              </w:rPr>
              <w:t>6,00</w:t>
            </w:r>
          </w:p>
        </w:tc>
      </w:tr>
      <w:tr w:rsidR="008D58D7" w:rsidRPr="00811481" w14:paraId="3E1AD9A8" w14:textId="77777777" w:rsidTr="00630CF2">
        <w:trPr>
          <w:trHeight w:val="420"/>
        </w:trPr>
        <w:tc>
          <w:tcPr>
            <w:tcW w:w="1702" w:type="dxa"/>
            <w:vAlign w:val="center"/>
            <w:hideMark/>
          </w:tcPr>
          <w:p w14:paraId="41DA9E07" w14:textId="77777777" w:rsidR="00195499" w:rsidRPr="00F25A44" w:rsidRDefault="00195499" w:rsidP="00F25A44">
            <w:pPr>
              <w:pStyle w:val="Default"/>
              <w:ind w:right="4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Babina gora</w:t>
            </w:r>
          </w:p>
        </w:tc>
        <w:tc>
          <w:tcPr>
            <w:tcW w:w="1720" w:type="dxa"/>
            <w:vAlign w:val="center"/>
            <w:hideMark/>
          </w:tcPr>
          <w:p w14:paraId="7AED4124" w14:textId="620749FE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41.489.197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7AE8F0AB" w14:textId="12643F95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14.389.924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5565D438" w14:textId="58E8C844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10.437.947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3E8B4B2D" w14:textId="62BDF233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10.437.947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62" w:type="dxa"/>
            <w:vAlign w:val="center"/>
            <w:hideMark/>
          </w:tcPr>
          <w:p w14:paraId="00CFC73B" w14:textId="16BEB26D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6.223.380</w:t>
            </w:r>
            <w:r w:rsidR="008D58D7">
              <w:rPr>
                <w:sz w:val="22"/>
                <w:szCs w:val="22"/>
              </w:rPr>
              <w:t>,00</w:t>
            </w:r>
          </w:p>
        </w:tc>
      </w:tr>
      <w:tr w:rsidR="008D58D7" w:rsidRPr="00811481" w14:paraId="6DD4635B" w14:textId="77777777" w:rsidTr="00630CF2">
        <w:trPr>
          <w:trHeight w:val="420"/>
        </w:trPr>
        <w:tc>
          <w:tcPr>
            <w:tcW w:w="1702" w:type="dxa"/>
            <w:vAlign w:val="center"/>
            <w:hideMark/>
          </w:tcPr>
          <w:p w14:paraId="271CD6DA" w14:textId="77777777" w:rsidR="00195499" w:rsidRPr="00F25A44" w:rsidRDefault="00195499" w:rsidP="00F25A44">
            <w:pPr>
              <w:pStyle w:val="Default"/>
              <w:ind w:right="4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Lučino razdolje</w:t>
            </w:r>
          </w:p>
        </w:tc>
        <w:tc>
          <w:tcPr>
            <w:tcW w:w="1720" w:type="dxa"/>
            <w:vAlign w:val="center"/>
            <w:hideMark/>
          </w:tcPr>
          <w:p w14:paraId="186B3FD1" w14:textId="79ED6933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67.346.729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657BE780" w14:textId="6D6DBDC9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14.389.924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5D6D0AA4" w14:textId="09B6A2AC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21.427.398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00" w:type="dxa"/>
            <w:vAlign w:val="center"/>
            <w:hideMark/>
          </w:tcPr>
          <w:p w14:paraId="3B3E1A0F" w14:textId="5D114195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21.427.398</w:t>
            </w:r>
            <w:r w:rsidR="008D58D7">
              <w:rPr>
                <w:sz w:val="22"/>
                <w:szCs w:val="22"/>
              </w:rPr>
              <w:t>,00</w:t>
            </w:r>
          </w:p>
        </w:tc>
        <w:tc>
          <w:tcPr>
            <w:tcW w:w="1662" w:type="dxa"/>
            <w:vAlign w:val="center"/>
            <w:hideMark/>
          </w:tcPr>
          <w:p w14:paraId="587A7B2D" w14:textId="31F676A5" w:rsidR="00195499" w:rsidRPr="00F25A44" w:rsidRDefault="00195499" w:rsidP="00F25A44">
            <w:pPr>
              <w:pStyle w:val="Default"/>
              <w:ind w:right="4"/>
              <w:jc w:val="right"/>
              <w:rPr>
                <w:sz w:val="22"/>
                <w:szCs w:val="22"/>
              </w:rPr>
            </w:pPr>
            <w:r w:rsidRPr="00F25A44">
              <w:rPr>
                <w:sz w:val="22"/>
                <w:szCs w:val="22"/>
              </w:rPr>
              <w:t>10.102.009</w:t>
            </w:r>
            <w:r w:rsidR="008D58D7">
              <w:rPr>
                <w:sz w:val="22"/>
                <w:szCs w:val="22"/>
              </w:rPr>
              <w:t>,00</w:t>
            </w:r>
          </w:p>
        </w:tc>
      </w:tr>
      <w:tr w:rsidR="008D58D7" w:rsidRPr="00811481" w14:paraId="7624553D" w14:textId="77777777" w:rsidTr="00630CF2">
        <w:trPr>
          <w:trHeight w:val="420"/>
        </w:trPr>
        <w:tc>
          <w:tcPr>
            <w:tcW w:w="1702" w:type="dxa"/>
            <w:vAlign w:val="center"/>
            <w:hideMark/>
          </w:tcPr>
          <w:p w14:paraId="07F49D7D" w14:textId="77777777" w:rsidR="00195499" w:rsidRPr="00F25A44" w:rsidRDefault="00195499" w:rsidP="00F25A44">
            <w:pPr>
              <w:pStyle w:val="Default"/>
              <w:ind w:right="4"/>
              <w:jc w:val="center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4A689A" w14:textId="35839AB1" w:rsidR="00195499" w:rsidRPr="00F25A44" w:rsidRDefault="00195499" w:rsidP="00F25A44">
            <w:pPr>
              <w:pStyle w:val="Default"/>
              <w:ind w:right="4"/>
              <w:jc w:val="right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</w:rPr>
              <w:t>293.977.202</w:t>
            </w:r>
            <w:r w:rsidR="008D58D7">
              <w:rPr>
                <w:b/>
                <w:bCs/>
              </w:rPr>
              <w:t>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9BAB86" w14:textId="6B2F9497" w:rsidR="00195499" w:rsidRPr="00F25A44" w:rsidRDefault="00195499" w:rsidP="00F25A44">
            <w:pPr>
              <w:pStyle w:val="Default"/>
              <w:ind w:right="4"/>
              <w:jc w:val="right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</w:rPr>
              <w:t>57.559.696</w:t>
            </w:r>
            <w:r w:rsidR="008D58D7">
              <w:rPr>
                <w:b/>
                <w:bCs/>
              </w:rPr>
              <w:t>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0FE369" w14:textId="3FEE59EB" w:rsidR="00195499" w:rsidRPr="00F25A44" w:rsidRDefault="00195499" w:rsidP="00F25A44">
            <w:pPr>
              <w:pStyle w:val="Default"/>
              <w:ind w:right="4"/>
              <w:jc w:val="right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</w:rPr>
              <w:t>96.160.463</w:t>
            </w:r>
            <w:r w:rsidR="008D58D7">
              <w:rPr>
                <w:b/>
                <w:bCs/>
              </w:rPr>
              <w:t>,00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401AB" w14:textId="2AEA17BA" w:rsidR="00195499" w:rsidRPr="00F25A44" w:rsidRDefault="00195499" w:rsidP="00F25A44">
            <w:pPr>
              <w:pStyle w:val="Default"/>
              <w:ind w:right="4"/>
              <w:jc w:val="right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</w:rPr>
              <w:t>96.160.463</w:t>
            </w:r>
            <w:r w:rsidR="008D58D7">
              <w:rPr>
                <w:b/>
                <w:bCs/>
              </w:rPr>
              <w:t>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E4BF" w14:textId="0C1AD138" w:rsidR="00195499" w:rsidRPr="00F25A44" w:rsidRDefault="00195499" w:rsidP="00F25A44">
            <w:pPr>
              <w:pStyle w:val="Default"/>
              <w:ind w:right="4"/>
              <w:jc w:val="right"/>
              <w:rPr>
                <w:b/>
                <w:bCs/>
                <w:sz w:val="22"/>
                <w:szCs w:val="22"/>
              </w:rPr>
            </w:pPr>
            <w:r w:rsidRPr="00F25A44">
              <w:rPr>
                <w:b/>
                <w:bCs/>
              </w:rPr>
              <w:t>44.096.580</w:t>
            </w:r>
            <w:r w:rsidR="008D58D7">
              <w:rPr>
                <w:b/>
                <w:bCs/>
              </w:rPr>
              <w:t>,00</w:t>
            </w:r>
          </w:p>
        </w:tc>
      </w:tr>
    </w:tbl>
    <w:p w14:paraId="6AE70E0D" w14:textId="77777777" w:rsidR="00F94D47" w:rsidDel="00685763" w:rsidRDefault="00F94D47" w:rsidP="0097507F">
      <w:pPr>
        <w:pStyle w:val="Default"/>
        <w:ind w:right="4"/>
        <w:jc w:val="both"/>
      </w:pPr>
    </w:p>
    <w:p w14:paraId="3D130388" w14:textId="77777777" w:rsidR="00BA4F77" w:rsidRDefault="00BA4F77" w:rsidP="00717DD5">
      <w:pPr>
        <w:pStyle w:val="Default"/>
        <w:ind w:right="4"/>
        <w:jc w:val="both"/>
      </w:pPr>
      <w:r w:rsidRPr="00717DD5">
        <w:t xml:space="preserve">Sredstva </w:t>
      </w:r>
      <w:r>
        <w:t>Europskog fonda za regionalni razvoj</w:t>
      </w:r>
      <w:r w:rsidRPr="00717DD5">
        <w:t xml:space="preserve"> za financiranje ovih projekata u okviru PKK 2021.-2027. planirana su u Državnom proračunu Republike Hrvatske za</w:t>
      </w:r>
      <w:r w:rsidRPr="00E76E61">
        <w:t xml:space="preserve"> 2024. godinu i projekcijama za 2025. i 2026. godinu, na Razdjelu 078, Glavi 07805 Ministarstvo zaštite okoliša i zelene tranzicije, aktivnosti K905056 Program Konkurentnost i Kohezija 2021. – 2027.</w:t>
      </w:r>
      <w:r>
        <w:t>, na izvoru 563.</w:t>
      </w:r>
    </w:p>
    <w:p w14:paraId="1D7B4729" w14:textId="77777777" w:rsidR="00F96E8A" w:rsidRDefault="00F96E8A" w:rsidP="0097507F">
      <w:pPr>
        <w:pStyle w:val="Default"/>
        <w:ind w:right="4"/>
        <w:jc w:val="both"/>
      </w:pPr>
    </w:p>
    <w:p w14:paraId="1D659FB4" w14:textId="77777777" w:rsidR="00BA4F77" w:rsidRDefault="00BA4F77" w:rsidP="0097507F">
      <w:pPr>
        <w:pStyle w:val="Default"/>
        <w:ind w:right="4"/>
        <w:jc w:val="both"/>
      </w:pPr>
      <w:r>
        <w:t>Sredstva za dio investicije koji se odnosi na pretovarne stanice planiran</w:t>
      </w:r>
      <w:r w:rsidR="00096513">
        <w:t>a su</w:t>
      </w:r>
      <w:r>
        <w:t xml:space="preserve"> </w:t>
      </w:r>
      <w:r w:rsidRPr="00E76E61">
        <w:t>u Državnom proračunu Republike Hrvatske za 2024. godinu i projekcijama za 2025. i 2026. godinu, na Razdjelu 078, Glavi 07805 Ministarstvo zaštite okoliša i zelene tranzicije, aktivnosti</w:t>
      </w:r>
      <w:r>
        <w:t xml:space="preserve"> K779057 NPOO – Nacionalni program oporavka i otpornosti, na izvoru 581. </w:t>
      </w:r>
    </w:p>
    <w:p w14:paraId="5EAC6B85" w14:textId="77777777" w:rsidR="004E69A1" w:rsidRDefault="004E69A1" w:rsidP="004E69A1">
      <w:pPr>
        <w:pStyle w:val="Default"/>
        <w:ind w:right="4"/>
        <w:jc w:val="both"/>
        <w:rPr>
          <w:bCs/>
        </w:rPr>
      </w:pPr>
    </w:p>
    <w:p w14:paraId="17A5B0D3" w14:textId="4A7DBADC" w:rsidR="00F96E8A" w:rsidRDefault="00F96E8A" w:rsidP="004E69A1">
      <w:pPr>
        <w:pStyle w:val="Default"/>
        <w:ind w:right="4"/>
        <w:jc w:val="both"/>
      </w:pPr>
      <w:r w:rsidRPr="00717DD5">
        <w:t>Sredstva Državnog proračuna za financiranje investicija iz područja gospodarenja</w:t>
      </w:r>
      <w:r w:rsidRPr="00F96E8A">
        <w:t xml:space="preserve"> otpadom planirana su u Državnom proračunu Republike Hrvatske za 2024. godinu i projekcijama za 2025. i 2026. godinu, na </w:t>
      </w:r>
      <w:r>
        <w:t xml:space="preserve">Razdjelu </w:t>
      </w:r>
      <w:r w:rsidRPr="00F96E8A">
        <w:t>078, Glavi 07805 Ministarstvo zaštite okoliša i zelene tranzicije</w:t>
      </w:r>
      <w:r>
        <w:t>,</w:t>
      </w:r>
      <w:r w:rsidRPr="00F96E8A">
        <w:t xml:space="preserve"> </w:t>
      </w:r>
      <w:r w:rsidR="000355B3" w:rsidRPr="000355B3">
        <w:t>aktivnosti K905056 Program Konkurentnost i Kohezija 2021. – 2027.</w:t>
      </w:r>
      <w:r w:rsidR="000355B3">
        <w:t xml:space="preserve">, </w:t>
      </w:r>
      <w:r w:rsidRPr="00F96E8A">
        <w:t>na izvoru 11. Na izvoru 11 u 2024. nisu planirana sredstva</w:t>
      </w:r>
      <w:r w:rsidR="004E6750">
        <w:t>,</w:t>
      </w:r>
      <w:r w:rsidRPr="00F96E8A">
        <w:t xml:space="preserve"> dok je u 2025. godini planiran iznos od 10.000.000</w:t>
      </w:r>
      <w:r w:rsidR="008014F7">
        <w:t>,00</w:t>
      </w:r>
      <w:r w:rsidRPr="00F96E8A">
        <w:t xml:space="preserve"> EUR, a u 2026. godini iznos od 69.930.529</w:t>
      </w:r>
      <w:r w:rsidR="008014F7">
        <w:t>,00</w:t>
      </w:r>
      <w:r w:rsidRPr="00F96E8A">
        <w:t xml:space="preserve"> EUR. </w:t>
      </w:r>
      <w:r w:rsidRPr="000355B3">
        <w:t xml:space="preserve">S obzirom na dostavljene planove potrošnje sredstava od korisnika, sukladno dinamici izvođenja radova, </w:t>
      </w:r>
      <w:r w:rsidR="000355B3">
        <w:t>s</w:t>
      </w:r>
      <w:r w:rsidR="000355B3" w:rsidRPr="000355B3">
        <w:t xml:space="preserve">redstva potrebna u </w:t>
      </w:r>
      <w:r w:rsidR="000355B3">
        <w:t xml:space="preserve">2025. i </w:t>
      </w:r>
      <w:r w:rsidR="000355B3" w:rsidRPr="000355B3">
        <w:t xml:space="preserve">2026. godini planirat će se u okviru limita </w:t>
      </w:r>
      <w:r w:rsidR="00EF7908" w:rsidRPr="00EF7908">
        <w:t>Ministarstv</w:t>
      </w:r>
      <w:r w:rsidR="00EF7908">
        <w:t>a</w:t>
      </w:r>
      <w:r w:rsidR="00EF7908" w:rsidRPr="00EF7908">
        <w:t xml:space="preserve"> zaštite okoliša i zelene tranzicije</w:t>
      </w:r>
      <w:r w:rsidR="00096513">
        <w:t>,</w:t>
      </w:r>
      <w:r w:rsidR="000355B3" w:rsidRPr="000355B3">
        <w:t xml:space="preserve"> koje će Vlada Republike Hrvatske utvrditi Odlukom o proračunskom okviru za razdoblje 2025. - 2027</w:t>
      </w:r>
      <w:r>
        <w:t>.</w:t>
      </w:r>
      <w:r w:rsidR="000355B3">
        <w:t xml:space="preserve">, u ukupnom iznosu od </w:t>
      </w:r>
      <w:r w:rsidR="00195499" w:rsidRPr="00195499">
        <w:t>48.918.540</w:t>
      </w:r>
      <w:r w:rsidR="008014F7">
        <w:t>,00</w:t>
      </w:r>
      <w:r w:rsidR="000355B3">
        <w:t xml:space="preserve"> EUR. </w:t>
      </w:r>
      <w:r w:rsidRPr="00F96E8A">
        <w:t xml:space="preserve">Preostala sredstva koja će biti potrebna za sufinanciranje 4 projekta izgradnje CGO-a u iznosu od </w:t>
      </w:r>
      <w:r w:rsidR="00195499" w:rsidRPr="00195499">
        <w:t>47.241.923</w:t>
      </w:r>
      <w:r w:rsidR="008014F7">
        <w:t>,00</w:t>
      </w:r>
      <w:r w:rsidR="003B2E50">
        <w:t xml:space="preserve"> </w:t>
      </w:r>
      <w:r w:rsidRPr="00F96E8A">
        <w:t>EUR bit će potrebno osigurati kroz projekcije za 2027.</w:t>
      </w:r>
      <w:r w:rsidR="003B2E50">
        <w:t xml:space="preserve"> i</w:t>
      </w:r>
      <w:r w:rsidRPr="00F96E8A">
        <w:t xml:space="preserve"> 2028. godinu, stoga </w:t>
      </w:r>
      <w:r w:rsidR="003B2E50" w:rsidRPr="00F96E8A">
        <w:t xml:space="preserve">Ministarstvo zaštite okoliša i zelene tranzicije </w:t>
      </w:r>
      <w:r w:rsidRPr="00F96E8A">
        <w:t xml:space="preserve">traži suglasnost Vlade RH za preuzimanje obveza na teret sredstava </w:t>
      </w:r>
      <w:r w:rsidRPr="00F96E8A">
        <w:lastRenderedPageBreak/>
        <w:t xml:space="preserve">Državnog proračuna Republike Hrvatske u </w:t>
      </w:r>
      <w:r w:rsidR="003B2E50">
        <w:t>2025., 2026., 2027.</w:t>
      </w:r>
      <w:r w:rsidRPr="00F96E8A">
        <w:t xml:space="preserve"> i 202</w:t>
      </w:r>
      <w:r w:rsidR="00435905">
        <w:t>8</w:t>
      </w:r>
      <w:r w:rsidRPr="00F96E8A">
        <w:t>. godini i to po godinama i u iznosima kako slijedi:</w:t>
      </w:r>
    </w:p>
    <w:p w14:paraId="500DAF13" w14:textId="77777777" w:rsidR="00195499" w:rsidRDefault="00195499" w:rsidP="004E69A1">
      <w:pPr>
        <w:pStyle w:val="Default"/>
        <w:ind w:right="4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3279"/>
      </w:tblGrid>
      <w:tr w:rsidR="003B2E50" w14:paraId="1BBABC8A" w14:textId="77777777" w:rsidTr="00714FB1">
        <w:trPr>
          <w:jc w:val="center"/>
        </w:trPr>
        <w:tc>
          <w:tcPr>
            <w:tcW w:w="1111" w:type="dxa"/>
            <w:vAlign w:val="center"/>
          </w:tcPr>
          <w:p w14:paraId="38025EC5" w14:textId="77777777" w:rsidR="003B2E50" w:rsidRDefault="003B2E50" w:rsidP="00714FB1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Godina</w:t>
            </w:r>
          </w:p>
        </w:tc>
        <w:tc>
          <w:tcPr>
            <w:tcW w:w="3279" w:type="dxa"/>
            <w:vAlign w:val="center"/>
          </w:tcPr>
          <w:p w14:paraId="4DFA7080" w14:textId="77777777" w:rsidR="003B2E50" w:rsidRDefault="003B2E50" w:rsidP="00714FB1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Izvor 11 Opći prihodi i primici</w:t>
            </w:r>
          </w:p>
        </w:tc>
      </w:tr>
      <w:tr w:rsidR="00195499" w14:paraId="7D3D58A7" w14:textId="77777777" w:rsidTr="00F25A44">
        <w:trPr>
          <w:jc w:val="center"/>
        </w:trPr>
        <w:tc>
          <w:tcPr>
            <w:tcW w:w="1111" w:type="dxa"/>
          </w:tcPr>
          <w:p w14:paraId="65DFAC08" w14:textId="77777777" w:rsidR="00195499" w:rsidRDefault="00195499" w:rsidP="0019549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2025.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AE0F" w14:textId="540B9663" w:rsidR="00195499" w:rsidRPr="00195499" w:rsidRDefault="00195499" w:rsidP="00195499">
            <w:pPr>
              <w:pStyle w:val="Odlomakpopisa"/>
              <w:ind w:left="0"/>
              <w:jc w:val="right"/>
              <w:rPr>
                <w:bCs/>
              </w:rPr>
            </w:pPr>
            <w:r w:rsidRPr="00F25A44">
              <w:rPr>
                <w:color w:val="000000"/>
              </w:rPr>
              <w:t>16.684.764</w:t>
            </w:r>
            <w:r w:rsidR="00EC73B7">
              <w:rPr>
                <w:color w:val="000000"/>
              </w:rPr>
              <w:t>,00</w:t>
            </w:r>
          </w:p>
        </w:tc>
      </w:tr>
      <w:tr w:rsidR="00195499" w14:paraId="1C95A144" w14:textId="77777777" w:rsidTr="00F25A44">
        <w:trPr>
          <w:jc w:val="center"/>
        </w:trPr>
        <w:tc>
          <w:tcPr>
            <w:tcW w:w="1111" w:type="dxa"/>
          </w:tcPr>
          <w:p w14:paraId="357EEB64" w14:textId="77777777" w:rsidR="00195499" w:rsidRDefault="00195499" w:rsidP="0019549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2026.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2462" w14:textId="03016208" w:rsidR="00195499" w:rsidRPr="00195499" w:rsidRDefault="00195499" w:rsidP="00195499">
            <w:pPr>
              <w:pStyle w:val="Odlomakpopisa"/>
              <w:ind w:left="0"/>
              <w:jc w:val="right"/>
              <w:rPr>
                <w:bCs/>
              </w:rPr>
            </w:pPr>
            <w:r w:rsidRPr="00F25A44">
              <w:rPr>
                <w:color w:val="000000"/>
              </w:rPr>
              <w:t>32.233.77</w:t>
            </w:r>
            <w:r w:rsidR="00EC73B7">
              <w:rPr>
                <w:color w:val="000000"/>
              </w:rPr>
              <w:t>7,00</w:t>
            </w:r>
          </w:p>
        </w:tc>
      </w:tr>
      <w:tr w:rsidR="00195499" w14:paraId="00709127" w14:textId="77777777" w:rsidTr="00F25A44">
        <w:trPr>
          <w:jc w:val="center"/>
        </w:trPr>
        <w:tc>
          <w:tcPr>
            <w:tcW w:w="1111" w:type="dxa"/>
          </w:tcPr>
          <w:p w14:paraId="33586321" w14:textId="77777777" w:rsidR="00195499" w:rsidRDefault="00195499" w:rsidP="0019549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2027.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B005" w14:textId="559FB3A5" w:rsidR="00195499" w:rsidRPr="00195499" w:rsidRDefault="00195499" w:rsidP="00195499">
            <w:pPr>
              <w:pStyle w:val="Odlomakpopisa"/>
              <w:ind w:left="0"/>
              <w:jc w:val="right"/>
              <w:rPr>
                <w:bCs/>
              </w:rPr>
            </w:pPr>
            <w:r w:rsidRPr="00F25A44">
              <w:rPr>
                <w:color w:val="000000"/>
              </w:rPr>
              <w:t>20.108.988</w:t>
            </w:r>
            <w:r w:rsidR="00EC73B7">
              <w:rPr>
                <w:color w:val="000000"/>
              </w:rPr>
              <w:t>,00</w:t>
            </w:r>
          </w:p>
        </w:tc>
      </w:tr>
      <w:tr w:rsidR="00195499" w14:paraId="63328BC5" w14:textId="77777777" w:rsidTr="00F25A44">
        <w:trPr>
          <w:jc w:val="center"/>
        </w:trPr>
        <w:tc>
          <w:tcPr>
            <w:tcW w:w="1111" w:type="dxa"/>
          </w:tcPr>
          <w:p w14:paraId="797D36C4" w14:textId="77777777" w:rsidR="00195499" w:rsidRDefault="00195499" w:rsidP="0019549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2028.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06D9" w14:textId="2F728408" w:rsidR="00195499" w:rsidRPr="00195499" w:rsidRDefault="00195499" w:rsidP="00195499">
            <w:pPr>
              <w:pStyle w:val="Odlomakpopisa"/>
              <w:ind w:left="0"/>
              <w:jc w:val="right"/>
              <w:rPr>
                <w:bCs/>
              </w:rPr>
            </w:pPr>
            <w:r w:rsidRPr="00F25A44">
              <w:rPr>
                <w:color w:val="000000"/>
              </w:rPr>
              <w:t>27.132.934</w:t>
            </w:r>
            <w:r w:rsidR="00EC73B7">
              <w:rPr>
                <w:color w:val="000000"/>
              </w:rPr>
              <w:t>,00</w:t>
            </w:r>
          </w:p>
        </w:tc>
      </w:tr>
      <w:tr w:rsidR="00195499" w14:paraId="1E409887" w14:textId="77777777" w:rsidTr="00F25A44">
        <w:trPr>
          <w:jc w:val="center"/>
        </w:trPr>
        <w:tc>
          <w:tcPr>
            <w:tcW w:w="1111" w:type="dxa"/>
          </w:tcPr>
          <w:p w14:paraId="2528F5B6" w14:textId="77777777" w:rsidR="00195499" w:rsidRDefault="00195499" w:rsidP="00195499">
            <w:pPr>
              <w:pStyle w:val="Odlomakpopisa"/>
              <w:ind w:left="0"/>
              <w:jc w:val="center"/>
              <w:rPr>
                <w:bCs/>
              </w:rPr>
            </w:pPr>
            <w:r>
              <w:rPr>
                <w:bCs/>
              </w:rPr>
              <w:t>Ukupno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053C" w14:textId="25992D90" w:rsidR="00195499" w:rsidRPr="00195499" w:rsidRDefault="00195499" w:rsidP="00195499">
            <w:pPr>
              <w:pStyle w:val="Odlomakpopisa"/>
              <w:ind w:left="0"/>
              <w:jc w:val="right"/>
              <w:rPr>
                <w:bCs/>
              </w:rPr>
            </w:pPr>
            <w:r w:rsidRPr="00F25A44">
              <w:rPr>
                <w:color w:val="000000"/>
              </w:rPr>
              <w:t>96.160.463</w:t>
            </w:r>
            <w:r w:rsidR="00EC73B7">
              <w:rPr>
                <w:color w:val="000000"/>
              </w:rPr>
              <w:t>,00</w:t>
            </w:r>
          </w:p>
        </w:tc>
      </w:tr>
    </w:tbl>
    <w:p w14:paraId="2F2842B1" w14:textId="77777777" w:rsidR="00F96E8A" w:rsidRDefault="00F96E8A" w:rsidP="004E69A1">
      <w:pPr>
        <w:pStyle w:val="Default"/>
        <w:ind w:right="4"/>
        <w:jc w:val="both"/>
      </w:pPr>
    </w:p>
    <w:p w14:paraId="36935D5D" w14:textId="37E3D08A" w:rsidR="0097507F" w:rsidRDefault="00A271B9" w:rsidP="0097507F">
      <w:pPr>
        <w:pStyle w:val="Default"/>
        <w:ind w:right="4"/>
        <w:jc w:val="both"/>
      </w:pPr>
      <w:r>
        <w:t xml:space="preserve">S obzirom na trenutnu ograničenu dostupnost sredstava iz PKK 2021.-2027., kod sljedećih izmjena </w:t>
      </w:r>
      <w:r w:rsidR="00586A82" w:rsidRPr="00586A82">
        <w:t>PKK 2021.-2027</w:t>
      </w:r>
      <w:r w:rsidR="00586A82">
        <w:t>.</w:t>
      </w:r>
      <w:r>
        <w:t xml:space="preserve"> i </w:t>
      </w:r>
      <w:r w:rsidR="004E6750">
        <w:t xml:space="preserve">preraspodjele </w:t>
      </w:r>
      <w:r>
        <w:t>sredstava razmotrit će se povećanje iznosa dostupnih EU sredstava za projekte izgradnje 4 CGO-a</w:t>
      </w:r>
      <w:r w:rsidR="00DF3583">
        <w:t>,</w:t>
      </w:r>
      <w:r>
        <w:t xml:space="preserve"> pri čemu će se </w:t>
      </w:r>
      <w:r w:rsidR="00E75928">
        <w:t xml:space="preserve">iznosi </w:t>
      </w:r>
      <w:r>
        <w:t>sredst</w:t>
      </w:r>
      <w:r w:rsidR="00E75928">
        <w:t>a</w:t>
      </w:r>
      <w:r>
        <w:t xml:space="preserve">va Državnog proračuna i </w:t>
      </w:r>
      <w:r w:rsidR="004A2B5E">
        <w:t>Fond</w:t>
      </w:r>
      <w:r>
        <w:t xml:space="preserve">a smanjiti </w:t>
      </w:r>
      <w:r w:rsidR="00717DD5">
        <w:t>sukladno</w:t>
      </w:r>
      <w:r>
        <w:t xml:space="preserve"> povećanju EU sredstava.</w:t>
      </w:r>
    </w:p>
    <w:p w14:paraId="5D07A2A3" w14:textId="77777777" w:rsidR="00C169DC" w:rsidRDefault="00C169DC" w:rsidP="0097507F">
      <w:pPr>
        <w:pStyle w:val="Default"/>
        <w:ind w:right="4"/>
        <w:jc w:val="both"/>
      </w:pPr>
    </w:p>
    <w:p w14:paraId="6F34724D" w14:textId="58E02554" w:rsidR="00C169DC" w:rsidRDefault="00C169DC" w:rsidP="00C169DC">
      <w:pPr>
        <w:pStyle w:val="Default"/>
        <w:ind w:right="4"/>
        <w:jc w:val="both"/>
      </w:pPr>
      <w:r>
        <w:t>Sredstva Fonda u ukupnom iznosu najviše do 96.160.463</w:t>
      </w:r>
      <w:r w:rsidR="008014F7">
        <w:t>,00</w:t>
      </w:r>
      <w:r>
        <w:t xml:space="preserve"> EUR za sufinanciranje </w:t>
      </w:r>
      <w:r w:rsidR="004A2B5E">
        <w:t xml:space="preserve">procijenjenih i </w:t>
      </w:r>
      <w:r>
        <w:t xml:space="preserve">prihvatljivih troškova Projekata osigurana su </w:t>
      </w:r>
      <w:r w:rsidR="004E59CE">
        <w:t xml:space="preserve">djelomično </w:t>
      </w:r>
      <w:r>
        <w:t>na aktivnosti K200003 – Gospodarenje otpadom - Izgradnja centara za gospodarenje otpadom  iz prihoda od prodaje emisijskih jedinica putem dražbi sukladno Planu korištenja financijskih sredstava dobivenih od prodaje emisijskih jedinica putem dražbi u Republici Hrvatskoj do 2020. godine u iznosu od 23.808.065,37 EUR (ovisno o dinamici provedbe projekata do isteka privremenog financiranja sredstva mogu biti i u manjem iznosu), iz prihoda od prodaje emisijskih jedinica putem dražbi sukladno Planu korištenja financijskih sredstava dobivenih od prodaje emisijskih jedinica putem dražbi u Republici Hrvatskoj od 2021. do 2025. godine u iznosu od 5.927.035,85 EUR, te će se preostali iznos sredstava osigurati sukladno raspoloživim izvorima financiranja i dinamici provođenja projekata u financijskom planu Fonda za 2025. godinu s projekcijama za 2026. i 2027. godinu odnosno u financijskom planu u godini u kojoj obveza dospijeva.</w:t>
      </w:r>
    </w:p>
    <w:p w14:paraId="4A11DD52" w14:textId="77777777" w:rsidR="00C169DC" w:rsidRDefault="00C169DC" w:rsidP="00C169DC">
      <w:pPr>
        <w:pStyle w:val="Default"/>
        <w:ind w:right="4"/>
        <w:jc w:val="both"/>
      </w:pPr>
    </w:p>
    <w:p w14:paraId="33EF014B" w14:textId="2A647B9E" w:rsidR="00C169DC" w:rsidRDefault="00C169DC" w:rsidP="00C169DC">
      <w:pPr>
        <w:pStyle w:val="Default"/>
        <w:ind w:right="4"/>
        <w:jc w:val="both"/>
      </w:pPr>
      <w:r>
        <w:t>Raspoloživi izvori financiranja Fonda, osim već osiguranih sredstava, mogu biti prihodi od naknade za odlaganje otpada sukladno Zakonu o gospodarenju otpadom i prihodi od prodaje emisijskih jedinica putem dražbi sukladno planu korištenja financijskih sredstava u razdoblju od 2026.godine sukladno Zakonu o klimatskim promjenama i zaštiti ozonskog sloja.</w:t>
      </w:r>
    </w:p>
    <w:p w14:paraId="4E718330" w14:textId="77777777" w:rsidR="00A271B9" w:rsidRPr="00263DDD" w:rsidRDefault="00A271B9" w:rsidP="0097507F">
      <w:pPr>
        <w:pStyle w:val="Default"/>
        <w:ind w:right="4"/>
        <w:jc w:val="both"/>
      </w:pPr>
    </w:p>
    <w:p w14:paraId="73C2B06F" w14:textId="4712A4D6" w:rsidR="003B2E50" w:rsidRPr="00263DDD" w:rsidRDefault="003B2E50" w:rsidP="0097507F">
      <w:pPr>
        <w:pStyle w:val="Default"/>
        <w:ind w:right="4"/>
        <w:jc w:val="both"/>
      </w:pPr>
      <w:r w:rsidRPr="003B2E50">
        <w:t>Donošenjem ove Odluke podupire se nastavak sufinanciranja izgradnje 4 CGO-a, što je nužno za nastavak i uspješan završetak provedbe ovih projekata, koji doprinose ispunjenju pokazatelja iz PKK 2021.-2027., kao i ispunjenju Cilja 1.</w:t>
      </w:r>
      <w:r w:rsidR="00E20DFB">
        <w:t xml:space="preserve"> </w:t>
      </w:r>
      <w:r w:rsidR="007C28EC">
        <w:t xml:space="preserve">Komunalni otpad </w:t>
      </w:r>
      <w:r w:rsidR="00E20DFB">
        <w:t>i Mjere 5.</w:t>
      </w:r>
      <w:r w:rsidRPr="003B2E50">
        <w:t xml:space="preserve"> </w:t>
      </w:r>
      <w:r w:rsidR="007C28EC" w:rsidRPr="007C28EC">
        <w:t>Izgradnja centara za gospodarenje otpadom</w:t>
      </w:r>
      <w:r w:rsidR="007C28EC">
        <w:t xml:space="preserve"> </w:t>
      </w:r>
      <w:r w:rsidRPr="003B2E50">
        <w:t>iz Plana gospodarenja otpadom Republike Hrvatske za razdoblje 2023. – 2028. godine (</w:t>
      </w:r>
      <w:r w:rsidR="007C28EC">
        <w:t>„</w:t>
      </w:r>
      <w:r w:rsidRPr="003B2E50">
        <w:t>Narodne novine</w:t>
      </w:r>
      <w:r w:rsidR="007C28EC">
        <w:t>“</w:t>
      </w:r>
      <w:r w:rsidRPr="003B2E50">
        <w:t>, broj 84/23).</w:t>
      </w:r>
    </w:p>
    <w:p w14:paraId="0EF79707" w14:textId="77777777" w:rsidR="0097507F" w:rsidRPr="00263DDD" w:rsidRDefault="0097507F" w:rsidP="0097507F">
      <w:pPr>
        <w:pStyle w:val="Default"/>
        <w:ind w:right="4"/>
        <w:jc w:val="both"/>
      </w:pPr>
      <w:r w:rsidRPr="00263DDD">
        <w:t xml:space="preserve">  </w:t>
      </w:r>
    </w:p>
    <w:p w14:paraId="4B698F08" w14:textId="30B095F6" w:rsidR="0097507F" w:rsidRDefault="0097507F" w:rsidP="0097507F">
      <w:pPr>
        <w:pStyle w:val="Default"/>
        <w:ind w:right="4"/>
        <w:jc w:val="both"/>
      </w:pPr>
      <w:r w:rsidRPr="00263DDD">
        <w:t xml:space="preserve">Ministarstvo zaštite okoliša i zelene tranzicije, </w:t>
      </w:r>
      <w:r w:rsidR="004A2B5E">
        <w:t>Fond</w:t>
      </w:r>
      <w:r w:rsidR="004A2B5E" w:rsidRPr="00263DDD">
        <w:t xml:space="preserve"> </w:t>
      </w:r>
      <w:r w:rsidRPr="00263DDD">
        <w:t xml:space="preserve">i </w:t>
      </w:r>
      <w:r w:rsidR="003B2E50">
        <w:t>Korisnici</w:t>
      </w:r>
      <w:r w:rsidR="00C10F81">
        <w:t xml:space="preserve"> projekata</w:t>
      </w:r>
      <w:r w:rsidRPr="00263DDD">
        <w:t xml:space="preserve"> pripremit će Ugovore o sufinanciranju projekata</w:t>
      </w:r>
      <w:r w:rsidR="00301883" w:rsidRPr="00263DDD">
        <w:rPr>
          <w:bCs/>
        </w:rPr>
        <w:t xml:space="preserve"> </w:t>
      </w:r>
      <w:r w:rsidRPr="00263DDD">
        <w:t xml:space="preserve">kojima će se za svaki pojedini projekt definirati iznos </w:t>
      </w:r>
      <w:r w:rsidR="00FB3C92">
        <w:t xml:space="preserve">preostalih </w:t>
      </w:r>
      <w:r w:rsidRPr="00263DDD">
        <w:t>prihvatljivih troškova i točni omjeri sufinanciranja</w:t>
      </w:r>
      <w:r w:rsidR="00C10F81">
        <w:t>,</w:t>
      </w:r>
      <w:r w:rsidRPr="00263DDD">
        <w:t xml:space="preserve"> kao i Ugovore o dodjeli bespovratnih sredstava za projekte koji se nastavljaju financirati u okviru PKK 2021.-2027. </w:t>
      </w:r>
    </w:p>
    <w:p w14:paraId="2BA0F52F" w14:textId="77777777" w:rsidR="00FB3C92" w:rsidRDefault="00FB3C92" w:rsidP="0097507F">
      <w:pPr>
        <w:pStyle w:val="Default"/>
        <w:ind w:right="4"/>
        <w:jc w:val="both"/>
      </w:pPr>
    </w:p>
    <w:p w14:paraId="26097ACF" w14:textId="1BC5DBA7" w:rsidR="00F92869" w:rsidRDefault="000D06BA" w:rsidP="0073578A">
      <w:pPr>
        <w:pStyle w:val="Default"/>
        <w:ind w:right="4"/>
        <w:jc w:val="both"/>
      </w:pPr>
      <w:r w:rsidRPr="000D06BA">
        <w:t xml:space="preserve">Zbog svega navedenog predlaže se donošenje ove Odluke. </w:t>
      </w:r>
      <w:r w:rsidR="00384437" w:rsidRPr="00384437">
        <w:t xml:space="preserve">Temeljem Odluke Vlade RH od 4. travnja 2024. (KLASA: 022-03/24-04/164, URBROJ: 50301-05/27-24-1), </w:t>
      </w:r>
      <w:r w:rsidR="00F92869">
        <w:t>korisnik osigurava sufinanciranje od</w:t>
      </w:r>
      <w:r w:rsidR="005D652E">
        <w:t xml:space="preserve"> 10%</w:t>
      </w:r>
      <w:r w:rsidR="00F92869">
        <w:t xml:space="preserve"> </w:t>
      </w:r>
      <w:r w:rsidR="005D652E">
        <w:t xml:space="preserve">za sve prihvatljive troškove </w:t>
      </w:r>
      <w:r w:rsidR="00F92869">
        <w:t xml:space="preserve">koji mu se isplaćuju u 2024. kroz </w:t>
      </w:r>
      <w:r w:rsidR="00231D03">
        <w:t xml:space="preserve">Ugovore o privremenom sufinanciranju. </w:t>
      </w:r>
      <w:r w:rsidR="00F92869">
        <w:t xml:space="preserve">Temeljem ove Odluke Vlade RH </w:t>
      </w:r>
      <w:r w:rsidR="00231D03">
        <w:t xml:space="preserve">sklopit će se ugovori o sufinanciranju sukladno kojima </w:t>
      </w:r>
      <w:r w:rsidR="00F92869">
        <w:t>korisnik osigurava sufinanciranje od 15%</w:t>
      </w:r>
      <w:r w:rsidR="00231D03">
        <w:t xml:space="preserve"> za sve prihvatljive </w:t>
      </w:r>
      <w:r w:rsidR="00231D03">
        <w:lastRenderedPageBreak/>
        <w:t>troškove koji će biti isplaćeni u 2025. i narednim godinama, a koji nisu bili isplaćeni kroz Ugovore o privremenom sufinanciranju.</w:t>
      </w:r>
    </w:p>
    <w:p w14:paraId="658445BD" w14:textId="77777777" w:rsidR="0097507F" w:rsidRPr="00263DDD" w:rsidRDefault="0097507F" w:rsidP="00231D03">
      <w:pPr>
        <w:pStyle w:val="Default"/>
        <w:ind w:right="4"/>
        <w:jc w:val="both"/>
      </w:pPr>
    </w:p>
    <w:sectPr w:rsidR="0097507F" w:rsidRPr="00263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837F1" w14:textId="77777777" w:rsidR="007548C3" w:rsidRDefault="007548C3" w:rsidP="00685763">
      <w:r>
        <w:separator/>
      </w:r>
    </w:p>
  </w:endnote>
  <w:endnote w:type="continuationSeparator" w:id="0">
    <w:p w14:paraId="258BBE48" w14:textId="77777777" w:rsidR="007548C3" w:rsidRDefault="007548C3" w:rsidP="0068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7CFF" w14:textId="77777777" w:rsidR="007548C3" w:rsidRDefault="007548C3" w:rsidP="00685763">
      <w:r>
        <w:separator/>
      </w:r>
    </w:p>
  </w:footnote>
  <w:footnote w:type="continuationSeparator" w:id="0">
    <w:p w14:paraId="5B8E7180" w14:textId="77777777" w:rsidR="007548C3" w:rsidRDefault="007548C3" w:rsidP="0068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0DAA"/>
    <w:multiLevelType w:val="hybridMultilevel"/>
    <w:tmpl w:val="21AAB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2634"/>
    <w:multiLevelType w:val="hybridMultilevel"/>
    <w:tmpl w:val="01EAB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3F8F"/>
    <w:multiLevelType w:val="hybridMultilevel"/>
    <w:tmpl w:val="20F22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37D"/>
    <w:multiLevelType w:val="hybridMultilevel"/>
    <w:tmpl w:val="8F403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76C3C"/>
    <w:multiLevelType w:val="hybridMultilevel"/>
    <w:tmpl w:val="2D7E8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62E2D"/>
    <w:multiLevelType w:val="hybridMultilevel"/>
    <w:tmpl w:val="CFF0B1A4"/>
    <w:lvl w:ilvl="0" w:tplc="496063A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722369B1"/>
    <w:multiLevelType w:val="hybridMultilevel"/>
    <w:tmpl w:val="F32A14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6703">
    <w:abstractNumId w:val="3"/>
  </w:num>
  <w:num w:numId="2" w16cid:durableId="1383021056">
    <w:abstractNumId w:val="2"/>
  </w:num>
  <w:num w:numId="3" w16cid:durableId="368072463">
    <w:abstractNumId w:val="4"/>
  </w:num>
  <w:num w:numId="4" w16cid:durableId="1153792728">
    <w:abstractNumId w:val="6"/>
  </w:num>
  <w:num w:numId="5" w16cid:durableId="1920942295">
    <w:abstractNumId w:val="1"/>
  </w:num>
  <w:num w:numId="6" w16cid:durableId="1726447447">
    <w:abstractNumId w:val="0"/>
  </w:num>
  <w:num w:numId="7" w16cid:durableId="72439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F"/>
    <w:rsid w:val="00003660"/>
    <w:rsid w:val="00013773"/>
    <w:rsid w:val="00024325"/>
    <w:rsid w:val="00026890"/>
    <w:rsid w:val="000355B3"/>
    <w:rsid w:val="00051042"/>
    <w:rsid w:val="0005366E"/>
    <w:rsid w:val="000759B4"/>
    <w:rsid w:val="000851FF"/>
    <w:rsid w:val="000860FC"/>
    <w:rsid w:val="00093729"/>
    <w:rsid w:val="00096513"/>
    <w:rsid w:val="0009738C"/>
    <w:rsid w:val="000A4A15"/>
    <w:rsid w:val="000A7410"/>
    <w:rsid w:val="000C55A7"/>
    <w:rsid w:val="000C6216"/>
    <w:rsid w:val="000D06BA"/>
    <w:rsid w:val="000F31AD"/>
    <w:rsid w:val="001005C7"/>
    <w:rsid w:val="00103870"/>
    <w:rsid w:val="0010457C"/>
    <w:rsid w:val="00112182"/>
    <w:rsid w:val="00122220"/>
    <w:rsid w:val="00143EF3"/>
    <w:rsid w:val="00157F80"/>
    <w:rsid w:val="00195499"/>
    <w:rsid w:val="00195812"/>
    <w:rsid w:val="001B2BCB"/>
    <w:rsid w:val="001D0640"/>
    <w:rsid w:val="001E031F"/>
    <w:rsid w:val="001F1B1E"/>
    <w:rsid w:val="00205824"/>
    <w:rsid w:val="00231D03"/>
    <w:rsid w:val="00236A88"/>
    <w:rsid w:val="00237749"/>
    <w:rsid w:val="00244CCB"/>
    <w:rsid w:val="002675A2"/>
    <w:rsid w:val="00282C1F"/>
    <w:rsid w:val="002937DA"/>
    <w:rsid w:val="002A0611"/>
    <w:rsid w:val="002F023A"/>
    <w:rsid w:val="002F1DF7"/>
    <w:rsid w:val="002F7EF9"/>
    <w:rsid w:val="00300AAF"/>
    <w:rsid w:val="00301883"/>
    <w:rsid w:val="00311C71"/>
    <w:rsid w:val="0032281C"/>
    <w:rsid w:val="00332776"/>
    <w:rsid w:val="003350AF"/>
    <w:rsid w:val="0036068C"/>
    <w:rsid w:val="00384437"/>
    <w:rsid w:val="00384A83"/>
    <w:rsid w:val="00384B72"/>
    <w:rsid w:val="00386788"/>
    <w:rsid w:val="003B18DF"/>
    <w:rsid w:val="003B1B04"/>
    <w:rsid w:val="003B2E50"/>
    <w:rsid w:val="003C4FDE"/>
    <w:rsid w:val="003D34BE"/>
    <w:rsid w:val="003E30F1"/>
    <w:rsid w:val="003E70F9"/>
    <w:rsid w:val="003F0072"/>
    <w:rsid w:val="003F022B"/>
    <w:rsid w:val="0040141A"/>
    <w:rsid w:val="0042043E"/>
    <w:rsid w:val="004227A3"/>
    <w:rsid w:val="00435905"/>
    <w:rsid w:val="00445679"/>
    <w:rsid w:val="0044689E"/>
    <w:rsid w:val="00447AB1"/>
    <w:rsid w:val="004700BA"/>
    <w:rsid w:val="00470C02"/>
    <w:rsid w:val="00477A47"/>
    <w:rsid w:val="00481D57"/>
    <w:rsid w:val="0049706E"/>
    <w:rsid w:val="004A2B5E"/>
    <w:rsid w:val="004A58B5"/>
    <w:rsid w:val="004A5C13"/>
    <w:rsid w:val="004A6E47"/>
    <w:rsid w:val="004B247E"/>
    <w:rsid w:val="004D2DEC"/>
    <w:rsid w:val="004D3DAC"/>
    <w:rsid w:val="004D67AD"/>
    <w:rsid w:val="004D6A25"/>
    <w:rsid w:val="004E59CE"/>
    <w:rsid w:val="004E6750"/>
    <w:rsid w:val="004E69A1"/>
    <w:rsid w:val="004F31A7"/>
    <w:rsid w:val="00501649"/>
    <w:rsid w:val="00504A5C"/>
    <w:rsid w:val="005050D6"/>
    <w:rsid w:val="0052689E"/>
    <w:rsid w:val="005378B0"/>
    <w:rsid w:val="00547BD9"/>
    <w:rsid w:val="005531E2"/>
    <w:rsid w:val="00554B37"/>
    <w:rsid w:val="0055558F"/>
    <w:rsid w:val="00561BDB"/>
    <w:rsid w:val="00571C86"/>
    <w:rsid w:val="00581123"/>
    <w:rsid w:val="00586A82"/>
    <w:rsid w:val="005A4F15"/>
    <w:rsid w:val="005B5736"/>
    <w:rsid w:val="005C78A1"/>
    <w:rsid w:val="005D2390"/>
    <w:rsid w:val="005D39E9"/>
    <w:rsid w:val="005D652E"/>
    <w:rsid w:val="005D6A77"/>
    <w:rsid w:val="005F3498"/>
    <w:rsid w:val="005F50E7"/>
    <w:rsid w:val="00605DB1"/>
    <w:rsid w:val="00630CF2"/>
    <w:rsid w:val="00637B7C"/>
    <w:rsid w:val="0064092F"/>
    <w:rsid w:val="00685763"/>
    <w:rsid w:val="00691584"/>
    <w:rsid w:val="00692E80"/>
    <w:rsid w:val="00694943"/>
    <w:rsid w:val="006A26AB"/>
    <w:rsid w:val="006A53D2"/>
    <w:rsid w:val="006C20C4"/>
    <w:rsid w:val="006C65E9"/>
    <w:rsid w:val="006C6C47"/>
    <w:rsid w:val="006F4ED2"/>
    <w:rsid w:val="006F75CD"/>
    <w:rsid w:val="00701242"/>
    <w:rsid w:val="007023FC"/>
    <w:rsid w:val="007071B5"/>
    <w:rsid w:val="00711D42"/>
    <w:rsid w:val="00712C9B"/>
    <w:rsid w:val="00717DD5"/>
    <w:rsid w:val="00722123"/>
    <w:rsid w:val="0073578A"/>
    <w:rsid w:val="007548C3"/>
    <w:rsid w:val="00767CB5"/>
    <w:rsid w:val="00771E33"/>
    <w:rsid w:val="00780483"/>
    <w:rsid w:val="007912D0"/>
    <w:rsid w:val="007938EC"/>
    <w:rsid w:val="007A081C"/>
    <w:rsid w:val="007A3841"/>
    <w:rsid w:val="007C28EC"/>
    <w:rsid w:val="007D12BF"/>
    <w:rsid w:val="007D7A05"/>
    <w:rsid w:val="008014F7"/>
    <w:rsid w:val="00805D6B"/>
    <w:rsid w:val="00811481"/>
    <w:rsid w:val="00811F76"/>
    <w:rsid w:val="00823AA9"/>
    <w:rsid w:val="00832C2E"/>
    <w:rsid w:val="008436D5"/>
    <w:rsid w:val="008472AA"/>
    <w:rsid w:val="00853B1D"/>
    <w:rsid w:val="00886886"/>
    <w:rsid w:val="0089167C"/>
    <w:rsid w:val="008979F8"/>
    <w:rsid w:val="008A4CFA"/>
    <w:rsid w:val="008A634E"/>
    <w:rsid w:val="008D58D7"/>
    <w:rsid w:val="00927F24"/>
    <w:rsid w:val="0093360E"/>
    <w:rsid w:val="00951178"/>
    <w:rsid w:val="009703C0"/>
    <w:rsid w:val="0097312E"/>
    <w:rsid w:val="0097507F"/>
    <w:rsid w:val="009940E2"/>
    <w:rsid w:val="009A3C1C"/>
    <w:rsid w:val="009A4D15"/>
    <w:rsid w:val="009A78D0"/>
    <w:rsid w:val="009B63CC"/>
    <w:rsid w:val="009B6C62"/>
    <w:rsid w:val="009C2290"/>
    <w:rsid w:val="009C2977"/>
    <w:rsid w:val="009C357C"/>
    <w:rsid w:val="009C3581"/>
    <w:rsid w:val="009D5AC4"/>
    <w:rsid w:val="009F0E9C"/>
    <w:rsid w:val="009F5B98"/>
    <w:rsid w:val="00A13969"/>
    <w:rsid w:val="00A271B9"/>
    <w:rsid w:val="00A40604"/>
    <w:rsid w:val="00A448D8"/>
    <w:rsid w:val="00A50228"/>
    <w:rsid w:val="00A51767"/>
    <w:rsid w:val="00A52B1C"/>
    <w:rsid w:val="00A549B2"/>
    <w:rsid w:val="00A56576"/>
    <w:rsid w:val="00A67B30"/>
    <w:rsid w:val="00A81066"/>
    <w:rsid w:val="00A82B25"/>
    <w:rsid w:val="00A850B4"/>
    <w:rsid w:val="00AC4DF3"/>
    <w:rsid w:val="00AC6390"/>
    <w:rsid w:val="00AD4FB4"/>
    <w:rsid w:val="00AD5774"/>
    <w:rsid w:val="00AE4AA0"/>
    <w:rsid w:val="00AF5760"/>
    <w:rsid w:val="00B07D32"/>
    <w:rsid w:val="00B10D38"/>
    <w:rsid w:val="00B1129B"/>
    <w:rsid w:val="00B129E2"/>
    <w:rsid w:val="00B33098"/>
    <w:rsid w:val="00B42266"/>
    <w:rsid w:val="00B504A2"/>
    <w:rsid w:val="00B8454A"/>
    <w:rsid w:val="00B84901"/>
    <w:rsid w:val="00B87DBE"/>
    <w:rsid w:val="00BA30C3"/>
    <w:rsid w:val="00BA4F77"/>
    <w:rsid w:val="00BB13D4"/>
    <w:rsid w:val="00BB732E"/>
    <w:rsid w:val="00BC137A"/>
    <w:rsid w:val="00BC1E3A"/>
    <w:rsid w:val="00BC32BA"/>
    <w:rsid w:val="00BD65C6"/>
    <w:rsid w:val="00BF4F1B"/>
    <w:rsid w:val="00C10F81"/>
    <w:rsid w:val="00C12513"/>
    <w:rsid w:val="00C169DC"/>
    <w:rsid w:val="00C1783A"/>
    <w:rsid w:val="00C30B63"/>
    <w:rsid w:val="00C353A8"/>
    <w:rsid w:val="00C47601"/>
    <w:rsid w:val="00C7366B"/>
    <w:rsid w:val="00C76C06"/>
    <w:rsid w:val="00C8582A"/>
    <w:rsid w:val="00C953CB"/>
    <w:rsid w:val="00CA6E3A"/>
    <w:rsid w:val="00CA7C23"/>
    <w:rsid w:val="00CB778C"/>
    <w:rsid w:val="00CC38FF"/>
    <w:rsid w:val="00CD1538"/>
    <w:rsid w:val="00CE63ED"/>
    <w:rsid w:val="00CF60A1"/>
    <w:rsid w:val="00D002A1"/>
    <w:rsid w:val="00D0417F"/>
    <w:rsid w:val="00D07201"/>
    <w:rsid w:val="00D10099"/>
    <w:rsid w:val="00D1267C"/>
    <w:rsid w:val="00D1489E"/>
    <w:rsid w:val="00D37D02"/>
    <w:rsid w:val="00D419A0"/>
    <w:rsid w:val="00D51E3F"/>
    <w:rsid w:val="00D56FFC"/>
    <w:rsid w:val="00D6079A"/>
    <w:rsid w:val="00D624D3"/>
    <w:rsid w:val="00D72575"/>
    <w:rsid w:val="00D73F93"/>
    <w:rsid w:val="00D76018"/>
    <w:rsid w:val="00D76A61"/>
    <w:rsid w:val="00D833DD"/>
    <w:rsid w:val="00DA35BA"/>
    <w:rsid w:val="00DB0AC5"/>
    <w:rsid w:val="00DB3449"/>
    <w:rsid w:val="00DC2B7D"/>
    <w:rsid w:val="00DC70EC"/>
    <w:rsid w:val="00DD0700"/>
    <w:rsid w:val="00DE1043"/>
    <w:rsid w:val="00DF3583"/>
    <w:rsid w:val="00E2040C"/>
    <w:rsid w:val="00E20DFB"/>
    <w:rsid w:val="00E24693"/>
    <w:rsid w:val="00E24FEE"/>
    <w:rsid w:val="00E30945"/>
    <w:rsid w:val="00E37841"/>
    <w:rsid w:val="00E57AEF"/>
    <w:rsid w:val="00E6429B"/>
    <w:rsid w:val="00E72238"/>
    <w:rsid w:val="00E75928"/>
    <w:rsid w:val="00E76E61"/>
    <w:rsid w:val="00EA4076"/>
    <w:rsid w:val="00EB384B"/>
    <w:rsid w:val="00EB3A59"/>
    <w:rsid w:val="00EC73B7"/>
    <w:rsid w:val="00EE2D83"/>
    <w:rsid w:val="00EF6E92"/>
    <w:rsid w:val="00EF7908"/>
    <w:rsid w:val="00F061ED"/>
    <w:rsid w:val="00F10A6E"/>
    <w:rsid w:val="00F12D17"/>
    <w:rsid w:val="00F14177"/>
    <w:rsid w:val="00F2087B"/>
    <w:rsid w:val="00F21621"/>
    <w:rsid w:val="00F25A44"/>
    <w:rsid w:val="00F30319"/>
    <w:rsid w:val="00F30CCF"/>
    <w:rsid w:val="00F7224D"/>
    <w:rsid w:val="00F82A78"/>
    <w:rsid w:val="00F9255A"/>
    <w:rsid w:val="00F92765"/>
    <w:rsid w:val="00F92869"/>
    <w:rsid w:val="00F94D47"/>
    <w:rsid w:val="00F94DA7"/>
    <w:rsid w:val="00F96E8A"/>
    <w:rsid w:val="00FA0E93"/>
    <w:rsid w:val="00FA7CC4"/>
    <w:rsid w:val="00FB1D51"/>
    <w:rsid w:val="00FB2210"/>
    <w:rsid w:val="00FB3C92"/>
    <w:rsid w:val="00FC34F9"/>
    <w:rsid w:val="00FC48ED"/>
    <w:rsid w:val="00FD7119"/>
    <w:rsid w:val="00FE10CE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0563"/>
  <w15:chartTrackingRefBased/>
  <w15:docId w15:val="{5EC1B17F-B59A-46F6-8B0C-EA7AC71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5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5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50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50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50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50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5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5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5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50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50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50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50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50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50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5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50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50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50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5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50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50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75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zija">
    <w:name w:val="Revision"/>
    <w:hidden/>
    <w:uiPriority w:val="99"/>
    <w:semiHidden/>
    <w:rsid w:val="003F02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BC13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137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137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13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137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D51E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1E3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B8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7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576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09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945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792F-98B3-4516-AF37-F968565F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Araranković</dc:creator>
  <cp:keywords/>
  <dc:description/>
  <cp:lastModifiedBy>V. Aužina</cp:lastModifiedBy>
  <cp:revision>7</cp:revision>
  <cp:lastPrinted>2024-11-29T07:57:00Z</cp:lastPrinted>
  <dcterms:created xsi:type="dcterms:W3CDTF">2024-12-11T14:42:00Z</dcterms:created>
  <dcterms:modified xsi:type="dcterms:W3CDTF">2024-12-11T14:56:00Z</dcterms:modified>
</cp:coreProperties>
</file>